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rPr>
      </w:pPr>
      <w:r w:rsidDel="00000000" w:rsidR="00000000" w:rsidRPr="00000000">
        <w:rPr>
          <w:b w:val="1"/>
          <w:sz w:val="32"/>
          <w:szCs w:val="32"/>
          <w:rtl w:val="0"/>
        </w:rPr>
        <w:t xml:space="preserve">Analysis of Software-Defined Network on Proxmox with Quality of Service Testing Using Open vSwitch</w:t>
      </w: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rtl w:val="0"/>
        </w:rPr>
      </w:r>
    </w:p>
    <w:p w:rsidR="00000000" w:rsidDel="00000000" w:rsidP="00000000" w:rsidRDefault="00000000" w:rsidRPr="00000000" w14:paraId="00000003">
      <w:pPr>
        <w:jc w:val="center"/>
        <w:rPr>
          <w:b w:val="1"/>
        </w:rPr>
      </w:pPr>
      <w:r w:rsidDel="00000000" w:rsidR="00000000" w:rsidRPr="00000000">
        <w:rPr>
          <w:b w:val="1"/>
          <w:rtl w:val="0"/>
        </w:rPr>
        <w:t xml:space="preserve">Riezkan Aprianda Firmansyah</w:t>
      </w:r>
    </w:p>
    <w:p w:rsidR="00000000" w:rsidDel="00000000" w:rsidP="00000000" w:rsidRDefault="00000000" w:rsidRPr="00000000" w14:paraId="00000004">
      <w:pPr>
        <w:jc w:val="center"/>
        <w:rPr>
          <w:sz w:val="16"/>
          <w:szCs w:val="16"/>
        </w:rPr>
      </w:pPr>
      <w:r w:rsidDel="00000000" w:rsidR="00000000" w:rsidRPr="00000000">
        <w:rPr>
          <w:sz w:val="16"/>
          <w:szCs w:val="16"/>
          <w:vertAlign w:val="superscript"/>
          <w:rtl w:val="0"/>
        </w:rPr>
        <w:t xml:space="preserve">1</w:t>
      </w:r>
      <w:r w:rsidDel="00000000" w:rsidR="00000000" w:rsidRPr="00000000">
        <w:rPr>
          <w:sz w:val="16"/>
          <w:szCs w:val="16"/>
          <w:rtl w:val="0"/>
        </w:rPr>
        <w:t xml:space="preserve">Department of Informatics, School of Management of Informatics and Computer AMIKBANDUNG, Bandung, Indonesia</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r>
    </w:p>
    <w:tbl>
      <w:tblPr>
        <w:tblStyle w:val="Table1"/>
        <w:tblW w:w="884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89"/>
        <w:gridCol w:w="282"/>
        <w:gridCol w:w="5774"/>
        <w:tblGridChange w:id="0">
          <w:tblGrid>
            <w:gridCol w:w="2789"/>
            <w:gridCol w:w="282"/>
            <w:gridCol w:w="5774"/>
          </w:tblGrid>
        </w:tblGridChange>
      </w:tblGrid>
      <w:tr>
        <w:trPr>
          <w:cantSplit w:val="0"/>
          <w:tblHeader w:val="0"/>
        </w:trPr>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07">
            <w:pPr>
              <w:spacing w:before="120" w:lineRule="auto"/>
              <w:jc w:val="both"/>
              <w:rPr>
                <w:b w:val="1"/>
              </w:rPr>
            </w:pPr>
            <w:r w:rsidDel="00000000" w:rsidR="00000000" w:rsidRPr="00000000">
              <w:rPr>
                <w:b w:val="1"/>
                <w:rtl w:val="0"/>
              </w:rPr>
              <w:t xml:space="preserve">Article Info</w:t>
            </w:r>
          </w:p>
        </w:tc>
        <w:tc>
          <w:tcPr>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008">
            <w:pPr>
              <w:spacing w:before="120" w:lineRule="auto"/>
              <w:jc w:val="center"/>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09">
            <w:pPr>
              <w:spacing w:before="120" w:lineRule="auto"/>
              <w:rPr>
                <w:color w:val="000000"/>
                <w:sz w:val="24"/>
                <w:szCs w:val="24"/>
              </w:rPr>
            </w:pPr>
            <w:r w:rsidDel="00000000" w:rsidR="00000000" w:rsidRPr="00000000">
              <w:rPr>
                <w:b w:val="1"/>
                <w:color w:val="000000"/>
                <w:rtl w:val="0"/>
              </w:rPr>
              <w:t xml:space="preserve">ABSTRACT </w:t>
            </w:r>
            <w:r w:rsidDel="00000000" w:rsidR="00000000" w:rsidRPr="00000000">
              <w:rPr>
                <w:rtl w:val="0"/>
              </w:rPr>
            </w:r>
          </w:p>
        </w:tc>
      </w:tr>
      <w:tr>
        <w:trPr>
          <w:cantSplit w:val="0"/>
          <w:trHeight w:val="1268" w:hRule="atLeast"/>
          <w:tblHeader w:val="0"/>
        </w:trPr>
        <w:tc>
          <w:tcPr>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0A">
            <w:pPr>
              <w:spacing w:after="120" w:before="120" w:lineRule="auto"/>
              <w:jc w:val="both"/>
              <w:rPr>
                <w:b w:val="1"/>
                <w:i w:val="1"/>
              </w:rPr>
            </w:pPr>
            <w:r w:rsidDel="00000000" w:rsidR="00000000" w:rsidRPr="00000000">
              <w:rPr>
                <w:b w:val="1"/>
                <w:i w:val="1"/>
                <w:rtl w:val="0"/>
              </w:rPr>
              <w:t xml:space="preserve">Article history:</w:t>
            </w:r>
          </w:p>
          <w:p w:rsidR="00000000" w:rsidDel="00000000" w:rsidP="00000000" w:rsidRDefault="00000000" w:rsidRPr="00000000" w14:paraId="0000000B">
            <w:pPr>
              <w:jc w:val="both"/>
              <w:rPr/>
            </w:pPr>
            <w:r w:rsidDel="00000000" w:rsidR="00000000" w:rsidRPr="00000000">
              <w:rPr>
                <w:rtl w:val="0"/>
              </w:rPr>
              <w:t xml:space="preserve">Received month dd, yyyy</w:t>
            </w:r>
          </w:p>
          <w:p w:rsidR="00000000" w:rsidDel="00000000" w:rsidP="00000000" w:rsidRDefault="00000000" w:rsidRPr="00000000" w14:paraId="0000000C">
            <w:pPr>
              <w:jc w:val="both"/>
              <w:rPr/>
            </w:pPr>
            <w:r w:rsidDel="00000000" w:rsidR="00000000" w:rsidRPr="00000000">
              <w:rPr>
                <w:rtl w:val="0"/>
              </w:rPr>
              <w:t xml:space="preserve">Revised month dd, yyyy</w:t>
            </w:r>
          </w:p>
          <w:p w:rsidR="00000000" w:rsidDel="00000000" w:rsidP="00000000" w:rsidRDefault="00000000" w:rsidRPr="00000000" w14:paraId="0000000D">
            <w:pPr>
              <w:jc w:val="both"/>
              <w:rPr/>
            </w:pPr>
            <w:r w:rsidDel="00000000" w:rsidR="00000000" w:rsidRPr="00000000">
              <w:rPr>
                <w:rtl w:val="0"/>
              </w:rPr>
              <w:t xml:space="preserve">Accepted month dd, yyyy</w:t>
            </w:r>
          </w:p>
          <w:p w:rsidR="00000000" w:rsidDel="00000000" w:rsidP="00000000" w:rsidRDefault="00000000" w:rsidRPr="00000000" w14:paraId="0000000E">
            <w:pPr>
              <w:jc w:val="both"/>
              <w:rPr/>
            </w:pPr>
            <w:r w:rsidDel="00000000" w:rsidR="00000000" w:rsidRPr="00000000">
              <w:rPr>
                <w:rtl w:val="0"/>
              </w:rPr>
            </w:r>
          </w:p>
        </w:tc>
        <w:tc>
          <w:tcPr>
            <w:vMerge w:val="restart"/>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F">
            <w:pPr>
              <w:spacing w:before="120" w:lineRule="auto"/>
              <w:jc w:val="both"/>
              <w:rPr/>
            </w:pPr>
            <w:r w:rsidDel="00000000" w:rsidR="00000000" w:rsidRPr="00000000">
              <w:rPr>
                <w:rtl w:val="0"/>
              </w:rPr>
            </w:r>
          </w:p>
        </w:tc>
        <w:tc>
          <w:tcPr>
            <w:vMerge w:val="restart"/>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010">
            <w:pPr>
              <w:spacing w:before="120" w:lineRule="auto"/>
              <w:jc w:val="both"/>
              <w:rPr/>
            </w:pPr>
            <w:r w:rsidDel="00000000" w:rsidR="00000000" w:rsidRPr="00000000">
              <w:rPr>
                <w:color w:val="000000"/>
                <w:sz w:val="18"/>
                <w:szCs w:val="18"/>
                <w:rtl w:val="0"/>
              </w:rPr>
              <w:t xml:space="preserve">This study designs and implements a virtual network based on Software-Defined Networking (SDN) in the Proxmox Virtual Environment using Open vSwitch (OVS) and OpenDaylight (ODL) controller, with performance testing of Quality of Service (QoS). The parameters tested include rate limiter, throughput, packet loss, and forwarding rate. Proxmox VE is selected for its centralized virtualization and clustering capabilities, while OVS manages network traffic among virtual machines. ODL is chosen for its compatibility with OpenFlow and OVSDB protocols, essential for OVS management. Testing uses iPerf3 to generate network traffic and analyze performance, including database service access simulation to mimic typical cloud application traffic loads. Forwarding rate measures the system's packet forwarding capability per unit time, providing a comprehensive network performance overview. Results contribute to optimized SDN-based virtual network implementations in Proxmox environments and provide scientific and practical references for developing QoS-based virtual networking systems</w:t>
            </w:r>
            <w:r w:rsidDel="00000000" w:rsidR="00000000" w:rsidRPr="00000000">
              <w:rPr>
                <w:rtl w:val="0"/>
              </w:rPr>
            </w:r>
          </w:p>
        </w:tc>
      </w:tr>
      <w:tr>
        <w:trPr>
          <w:cantSplit w:val="0"/>
          <w:trHeight w:val="1231" w:hRule="atLeast"/>
          <w:tblHeader w:val="0"/>
        </w:trPr>
        <w:tc>
          <w:tcPr>
            <w:vMerge w:val="restart"/>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11">
            <w:pPr>
              <w:spacing w:after="120" w:before="120" w:lineRule="auto"/>
              <w:jc w:val="both"/>
              <w:rPr>
                <w:b w:val="1"/>
                <w:i w:val="1"/>
              </w:rPr>
            </w:pPr>
            <w:r w:rsidDel="00000000" w:rsidR="00000000" w:rsidRPr="00000000">
              <w:rPr>
                <w:b w:val="1"/>
                <w:i w:val="1"/>
                <w:rtl w:val="0"/>
              </w:rPr>
              <w:t xml:space="preserve">Keywords:</w:t>
            </w:r>
          </w:p>
          <w:p w:rsidR="00000000" w:rsidDel="00000000" w:rsidP="00000000" w:rsidRDefault="00000000" w:rsidRPr="00000000" w14:paraId="00000012">
            <w:pPr>
              <w:jc w:val="both"/>
              <w:rPr/>
            </w:pPr>
            <w:r w:rsidDel="00000000" w:rsidR="00000000" w:rsidRPr="00000000">
              <w:rPr>
                <w:rtl w:val="0"/>
              </w:rPr>
              <w:t xml:space="preserve">SDN</w:t>
            </w:r>
          </w:p>
          <w:p w:rsidR="00000000" w:rsidDel="00000000" w:rsidP="00000000" w:rsidRDefault="00000000" w:rsidRPr="00000000" w14:paraId="00000013">
            <w:pPr>
              <w:jc w:val="both"/>
              <w:rPr/>
            </w:pPr>
            <w:r w:rsidDel="00000000" w:rsidR="00000000" w:rsidRPr="00000000">
              <w:rPr>
                <w:rtl w:val="0"/>
              </w:rPr>
              <w:t xml:space="preserve">Proxmox </w:t>
            </w:r>
          </w:p>
          <w:p w:rsidR="00000000" w:rsidDel="00000000" w:rsidP="00000000" w:rsidRDefault="00000000" w:rsidRPr="00000000" w14:paraId="00000014">
            <w:pPr>
              <w:jc w:val="both"/>
              <w:rPr/>
            </w:pPr>
            <w:r w:rsidDel="00000000" w:rsidR="00000000" w:rsidRPr="00000000">
              <w:rPr>
                <w:rtl w:val="0"/>
              </w:rPr>
              <w:t xml:space="preserve">Open vSwitch</w:t>
            </w:r>
          </w:p>
          <w:p w:rsidR="00000000" w:rsidDel="00000000" w:rsidP="00000000" w:rsidRDefault="00000000" w:rsidRPr="00000000" w14:paraId="00000015">
            <w:pPr>
              <w:jc w:val="both"/>
              <w:rPr/>
            </w:pPr>
            <w:r w:rsidDel="00000000" w:rsidR="00000000" w:rsidRPr="00000000">
              <w:rPr>
                <w:rtl w:val="0"/>
              </w:rPr>
              <w:t xml:space="preserve">OpenDaylight</w:t>
            </w:r>
          </w:p>
          <w:p w:rsidR="00000000" w:rsidDel="00000000" w:rsidP="00000000" w:rsidRDefault="00000000" w:rsidRPr="00000000" w14:paraId="00000016">
            <w:pPr>
              <w:jc w:val="both"/>
              <w:rPr/>
            </w:pPr>
            <w:r w:rsidDel="00000000" w:rsidR="00000000" w:rsidRPr="00000000">
              <w:rPr>
                <w:rtl w:val="0"/>
              </w:rPr>
              <w:t xml:space="preserve">QoS </w:t>
            </w:r>
          </w:p>
          <w:p w:rsidR="00000000" w:rsidDel="00000000" w:rsidP="00000000" w:rsidRDefault="00000000" w:rsidRPr="00000000" w14:paraId="00000017">
            <w:pPr>
              <w:jc w:val="both"/>
              <w:rPr/>
            </w:pPr>
            <w:r w:rsidDel="00000000" w:rsidR="00000000" w:rsidRPr="00000000">
              <w:rPr>
                <w:rtl w:val="0"/>
              </w:rPr>
              <w:t xml:space="preserve">Hypervisor</w:t>
            </w:r>
          </w:p>
        </w:tc>
        <w:tc>
          <w:tcPr>
            <w:vMerge w:val="continue"/>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r>
        <w:trPr>
          <w:cantSplit w:val="0"/>
          <w:trHeight w:val="70" w:hRule="atLeast"/>
          <w:tblHeader w:val="0"/>
        </w:trPr>
        <w:tc>
          <w:tcPr>
            <w:vMerge w:val="continue"/>
            <w:tcBorders>
              <w:top w:color="000000" w:space="0" w:sz="4" w:val="single"/>
              <w:left w:color="000000" w:space="0" w:sz="0" w:val="nil"/>
              <w:bottom w:color="000000" w:space="0" w:sz="4" w:val="single"/>
              <w:right w:color="000000" w:space="0" w:sz="0" w:val="nil"/>
            </w:tcBorders>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1C">
            <w:pPr>
              <w:spacing w:after="120" w:before="120" w:lineRule="auto"/>
              <w:jc w:val="right"/>
              <w:rPr>
                <w:i w:val="1"/>
                <w:color w:val="000000"/>
                <w:sz w:val="18"/>
                <w:szCs w:val="18"/>
              </w:rPr>
            </w:pPr>
            <w:r w:rsidDel="00000000" w:rsidR="00000000" w:rsidRPr="00000000">
              <w:rPr>
                <w:i w:val="1"/>
                <w:color w:val="000000"/>
                <w:sz w:val="18"/>
                <w:szCs w:val="18"/>
                <w:rtl w:val="0"/>
              </w:rPr>
              <w:t xml:space="preserve">This is an open access article under the </w:t>
            </w:r>
            <w:hyperlink r:id="rId6">
              <w:r w:rsidDel="00000000" w:rsidR="00000000" w:rsidRPr="00000000">
                <w:rPr>
                  <w:i w:val="1"/>
                  <w:color w:val="0000ff"/>
                  <w:sz w:val="18"/>
                  <w:szCs w:val="18"/>
                  <w:u w:val="single"/>
                  <w:rtl w:val="0"/>
                </w:rPr>
                <w:t xml:space="preserve">CC BY-SA</w:t>
              </w:r>
            </w:hyperlink>
            <w:r w:rsidDel="00000000" w:rsidR="00000000" w:rsidRPr="00000000">
              <w:rPr>
                <w:i w:val="1"/>
                <w:color w:val="000000"/>
                <w:sz w:val="18"/>
                <w:szCs w:val="18"/>
                <w:rtl w:val="0"/>
              </w:rPr>
              <w:t xml:space="preserve"> license.</w:t>
            </w:r>
          </w:p>
          <w:p w:rsidR="00000000" w:rsidDel="00000000" w:rsidP="00000000" w:rsidRDefault="00000000" w:rsidRPr="00000000" w14:paraId="0000001D">
            <w:pPr>
              <w:spacing w:after="120" w:before="120" w:lineRule="auto"/>
              <w:jc w:val="right"/>
              <w:rPr>
                <w:i w:val="1"/>
                <w:color w:val="000000"/>
                <w:sz w:val="18"/>
                <w:szCs w:val="18"/>
              </w:rPr>
            </w:pPr>
            <w:r w:rsidDel="00000000" w:rsidR="00000000" w:rsidRPr="00000000">
              <w:rPr/>
              <w:drawing>
                <wp:inline distB="0" distT="0" distL="0" distR="0">
                  <wp:extent cx="1057275" cy="371475"/>
                  <wp:effectExtent b="0" l="0" r="0" t="0"/>
                  <wp:docPr id="7"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1057275" cy="371475"/>
                          </a:xfrm>
                          <a:prstGeom prst="rect"/>
                          <a:ln/>
                        </pic:spPr>
                      </pic:pic>
                    </a:graphicData>
                  </a:graphic>
                </wp:inline>
              </w:drawing>
            </w:r>
            <w:r w:rsidDel="00000000" w:rsidR="00000000" w:rsidRPr="00000000">
              <w:rPr>
                <w:rtl w:val="0"/>
              </w:rPr>
            </w:r>
          </w:p>
        </w:tc>
      </w:tr>
      <w:tr>
        <w:trPr>
          <w:cantSplit w:val="0"/>
          <w:tblHeader w:val="0"/>
        </w:trPr>
        <w:tc>
          <w:tcPr>
            <w:gridSpan w:val="3"/>
            <w:tcBorders>
              <w:top w:color="000000" w:space="0" w:sz="0" w:val="nil"/>
              <w:left w:color="000000" w:space="0" w:sz="0" w:val="nil"/>
              <w:bottom w:color="000000" w:space="0" w:sz="4" w:val="single"/>
              <w:right w:color="000000" w:space="0" w:sz="0" w:val="nil"/>
            </w:tcBorders>
          </w:tcPr>
          <w:p w:rsidR="00000000" w:rsidDel="00000000" w:rsidP="00000000" w:rsidRDefault="00000000" w:rsidRPr="00000000" w14:paraId="0000001E">
            <w:pPr>
              <w:spacing w:after="120" w:before="120" w:lineRule="auto"/>
              <w:rPr>
                <w:b w:val="1"/>
                <w:i w:val="1"/>
              </w:rPr>
            </w:pPr>
            <w:r w:rsidDel="00000000" w:rsidR="00000000" w:rsidRPr="00000000">
              <w:rPr>
                <w:b w:val="1"/>
                <w:i w:val="1"/>
                <w:rtl w:val="0"/>
              </w:rPr>
              <w:t xml:space="preserve">Corresponding Author:</w:t>
            </w:r>
          </w:p>
          <w:p w:rsidR="00000000" w:rsidDel="00000000" w:rsidP="00000000" w:rsidRDefault="00000000" w:rsidRPr="00000000" w14:paraId="0000001F">
            <w:pPr>
              <w:spacing w:after="120" w:lineRule="auto"/>
              <w:rPr/>
            </w:pPr>
            <w:r w:rsidDel="00000000" w:rsidR="00000000" w:rsidRPr="00000000">
              <w:rPr>
                <w:rtl w:val="0"/>
              </w:rPr>
              <w:t xml:space="preserve">Riezkan Aprianda Firmansyah</w:t>
              <w:br w:type="textWrapping"/>
              <w:t xml:space="preserve">Department of Informatics, School of Management of Informatics and Computer AMIKBANDUNG, Bandung, Indonesia</w:t>
              <w:br w:type="textWrapping"/>
              <w:t xml:space="preserve">Email: riezkanaprianda@gmail.com</w:t>
            </w:r>
          </w:p>
        </w:tc>
      </w:tr>
    </w:tbl>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numPr>
          <w:ilvl w:val="0"/>
          <w:numId w:val="1"/>
        </w:numPr>
        <w:tabs>
          <w:tab w:val="left" w:leader="none" w:pos="426"/>
        </w:tabs>
        <w:ind w:left="426" w:hanging="426"/>
        <w:rPr/>
      </w:pPr>
      <w:r w:rsidDel="00000000" w:rsidR="00000000" w:rsidRPr="00000000">
        <w:rPr>
          <w:b w:val="1"/>
          <w:sz w:val="18"/>
          <w:szCs w:val="18"/>
          <w:rtl w:val="0"/>
        </w:rPr>
        <w:t xml:space="preserve">INTRODUCTION </w:t>
      </w:r>
    </w:p>
    <w:p w:rsidR="00000000" w:rsidDel="00000000" w:rsidP="00000000" w:rsidRDefault="00000000" w:rsidRPr="00000000" w14:paraId="00000025">
      <w:pPr>
        <w:ind w:firstLine="426"/>
        <w:jc w:val="both"/>
        <w:rPr/>
      </w:pPr>
      <w:r w:rsidDel="00000000" w:rsidR="00000000" w:rsidRPr="00000000">
        <w:rPr>
          <w:rtl w:val="0"/>
        </w:rPr>
        <w:t xml:space="preserve">The exponential growth of cloud computing, virtualization, and distributed applications has reshaped the way modern data centers are designed and managed. Traditional infrastructures were initially optimized for north–south traffic, where communication occurred primarily between clients and centralized servers [1]. However, the rise of east–west traffic, driven by microservices, virtualization, and containerization, requires data centers to handle more intensive lateral flows among virtual machines (VMs) [2], [3]. This traffic shift introduces new challenges for performance, scalability, and flexibility of network infrastructures.</w:t>
      </w:r>
    </w:p>
    <w:p w:rsidR="00000000" w:rsidDel="00000000" w:rsidP="00000000" w:rsidRDefault="00000000" w:rsidRPr="00000000" w14:paraId="00000026">
      <w:pPr>
        <w:jc w:val="both"/>
        <w:rPr/>
      </w:pPr>
      <w:r w:rsidDel="00000000" w:rsidR="00000000" w:rsidRPr="00000000">
        <w:rPr>
          <w:rtl w:val="0"/>
        </w:rPr>
        <w:t xml:space="preserve">Moreover, emerging paradigms such as edge computing, Internet of Things (IoT), and AI-driven workloads demand predictable and programmable network services [4]. These applications require guaranteed Quality of Service (QoS) to ensure low latency, minimal packet loss, and stable throughput. Unfortunately, conventional networking approaches based on static configuration and manual management are inadequate for meeting these dynamic requirements [5].</w:t>
      </w:r>
    </w:p>
    <w:p w:rsidR="00000000" w:rsidDel="00000000" w:rsidP="00000000" w:rsidRDefault="00000000" w:rsidRPr="00000000" w14:paraId="00000027">
      <w:pPr>
        <w:jc w:val="both"/>
        <w:rPr/>
      </w:pPr>
      <w:r w:rsidDel="00000000" w:rsidR="00000000" w:rsidRPr="00000000">
        <w:rPr>
          <w:rtl w:val="0"/>
        </w:rPr>
        <w:t xml:space="preserve">Proxmox Virtual Environment (VE) has gained popularity as an open-source hypervisor combining Kernel-based Virtual Machine (KVM) and Linux Containers (LXC). It offers clustering, live migration, high availability, and centralized management through a web interface [6]. Proxmox VE is widely adopted in academic institutions, research laboratories, and small-to-medium enterprises due to its low cost and flexibility. However, its network management capabilities are limited to traditional Linux bridges and static VLAN configurations [7]. These limitations become critical when multi-tenant workloads or time-sensitive services require guaranteed bandwidth or traffic prioritization.</w:t>
      </w:r>
    </w:p>
    <w:p w:rsidR="00000000" w:rsidDel="00000000" w:rsidP="00000000" w:rsidRDefault="00000000" w:rsidRPr="00000000" w14:paraId="00000028">
      <w:pPr>
        <w:jc w:val="both"/>
        <w:rPr/>
      </w:pPr>
      <w:r w:rsidDel="00000000" w:rsidR="00000000" w:rsidRPr="00000000">
        <w:rPr>
          <w:rtl w:val="0"/>
        </w:rPr>
        <w:t xml:space="preserve">To address these challenges, Software-Defined Networking (SDN) has emerged as a paradigm that separates the control plane from the data plane, providing centralized programmability and automation [8]. By decoupling control logic from forwarding devices, SDN enables administrators to enforce policies dynamically, optimize traffic routing, and allocate bandwidth based on service-level agreements (SLAs) [9]. OpenDaylight (ODL), one of the most widely used open-source SDN controllers, provides modularity and extensibility, enabling communication with programmable switches such as Open vSwitch (OVS) via OpenFlow and OVSDB [10].</w:t>
      </w:r>
    </w:p>
    <w:p w:rsidR="00000000" w:rsidDel="00000000" w:rsidP="00000000" w:rsidRDefault="00000000" w:rsidRPr="00000000" w14:paraId="00000029">
      <w:pPr>
        <w:jc w:val="both"/>
        <w:rPr/>
      </w:pPr>
      <w:r w:rsidDel="00000000" w:rsidR="00000000" w:rsidRPr="00000000">
        <w:rPr>
          <w:rtl w:val="0"/>
        </w:rPr>
        <w:t xml:space="preserve">A growing body of literature highlights the potential of SDN for enhancing data center performance. McKeown et al. [11] introduced the OpenFlow standard, enabling programmable switches for the first time. Pfaff et al. [12] demonstrated the scalability of OVS in production cloud environments. Sezer et al. [13] emphasized the ability of SDN to provide deterministic QoS in large-scale deployments. Kim and Feamster [14] showed how SDN improves automation and reduces configuration errors. Lara et al. [15] surveyed innovations in OpenFlow-enabled networks, identifying traffic engineering and QoS as key use cases. Li et al. [16] demonstrated SDN’s role in QoS-aware traffic engineering, while Hu et al. [17] explored OpenFlow for fine-grained bandwidth management.</w:t>
      </w:r>
    </w:p>
    <w:p w:rsidR="00000000" w:rsidDel="00000000" w:rsidP="00000000" w:rsidRDefault="00000000" w:rsidRPr="00000000" w14:paraId="0000002A">
      <w:pPr>
        <w:jc w:val="both"/>
        <w:rPr/>
      </w:pPr>
      <w:r w:rsidDel="00000000" w:rsidR="00000000" w:rsidRPr="00000000">
        <w:rPr>
          <w:rtl w:val="0"/>
        </w:rPr>
        <w:t xml:space="preserve">Despite these advances, most research has focused on SDN integration with platforms such as OpenStack [18], VMware NSX [19], or enterprise cloud frameworks [20]. In contrast, Proxmox VE remains largely underexplored in the context of SDN-enabled QoS. Prior works primarily evaluate Proxmox as a low-cost hypervisor [21] or as a clustering solution [22], but rarely consider its networking limitations. To date, no comprehensive study has quantified the impact of SDN-enabled QoS enforcement in Proxmox VE on key performance metrics such as throughput, packet loss, rate limiting, and forwarding rate.</w:t>
      </w:r>
    </w:p>
    <w:p w:rsidR="00000000" w:rsidDel="00000000" w:rsidP="00000000" w:rsidRDefault="00000000" w:rsidRPr="00000000" w14:paraId="0000002B">
      <w:pPr>
        <w:jc w:val="both"/>
        <w:rPr/>
      </w:pPr>
      <w:r w:rsidDel="00000000" w:rsidR="00000000" w:rsidRPr="00000000">
        <w:rPr>
          <w:rtl w:val="0"/>
        </w:rPr>
        <w:t xml:space="preserve">Therefore, this study aims to fill this gap by designing, implementing, and evaluating an SDN-enabled Proxmox VE architecture. Specifically, the contributions of this paper are threefold:</w:t>
      </w:r>
    </w:p>
    <w:p w:rsidR="00000000" w:rsidDel="00000000" w:rsidP="00000000" w:rsidRDefault="00000000" w:rsidRPr="00000000" w14:paraId="0000002C">
      <w:pPr>
        <w:numPr>
          <w:ilvl w:val="0"/>
          <w:numId w:val="2"/>
        </w:numPr>
        <w:ind w:left="720" w:hanging="360"/>
        <w:jc w:val="both"/>
        <w:rPr/>
      </w:pPr>
      <w:r w:rsidDel="00000000" w:rsidR="00000000" w:rsidRPr="00000000">
        <w:rPr>
          <w:rtl w:val="0"/>
        </w:rPr>
        <w:t xml:space="preserve">System Design: Integration of OpenDaylight (ODL) as the SDN controller and Open vSwitch (OVS) as the data plane within Proxmox VE.</w:t>
      </w:r>
    </w:p>
    <w:p w:rsidR="00000000" w:rsidDel="00000000" w:rsidP="00000000" w:rsidRDefault="00000000" w:rsidRPr="00000000" w14:paraId="0000002D">
      <w:pPr>
        <w:numPr>
          <w:ilvl w:val="0"/>
          <w:numId w:val="2"/>
        </w:numPr>
        <w:ind w:left="720" w:hanging="360"/>
        <w:jc w:val="both"/>
        <w:rPr/>
      </w:pPr>
      <w:r w:rsidDel="00000000" w:rsidR="00000000" w:rsidRPr="00000000">
        <w:rPr>
          <w:rtl w:val="0"/>
        </w:rPr>
        <w:t xml:space="preserve">Performance Evaluation: Experimental measurement of QoS enforcement using iperf3, focusing on throughput stability, packet loss reduction, rate limiter accuracy, and forwarding efficiency.</w:t>
      </w:r>
    </w:p>
    <w:p w:rsidR="00000000" w:rsidDel="00000000" w:rsidP="00000000" w:rsidRDefault="00000000" w:rsidRPr="00000000" w14:paraId="0000002E">
      <w:pPr>
        <w:numPr>
          <w:ilvl w:val="0"/>
          <w:numId w:val="2"/>
        </w:numPr>
        <w:ind w:left="720" w:hanging="360"/>
        <w:jc w:val="both"/>
        <w:rPr/>
      </w:pPr>
      <w:r w:rsidDel="00000000" w:rsidR="00000000" w:rsidRPr="00000000">
        <w:rPr>
          <w:rtl w:val="0"/>
        </w:rPr>
        <w:t xml:space="preserve">Comparative Analysis: Interpretation of results against unmanaged scenarios and prior research findings, demonstrating the novelty of applying SDN in Proxmox VE.</w:t>
      </w:r>
    </w:p>
    <w:p w:rsidR="00000000" w:rsidDel="00000000" w:rsidP="00000000" w:rsidRDefault="00000000" w:rsidRPr="00000000" w14:paraId="0000002F">
      <w:pPr>
        <w:jc w:val="both"/>
        <w:rPr/>
      </w:pPr>
      <w:r w:rsidDel="00000000" w:rsidR="00000000" w:rsidRPr="00000000">
        <w:rPr>
          <w:rtl w:val="0"/>
        </w:rPr>
        <w:t xml:space="preserve">The remainder of this paper is organized as follows: Section 2 presents the theoretical background and research methodology. Section 3 discusses the experimental results, while Section 4 provides analysis and discussion. Section 5 concludes the paper with a summary of findings and future directions.</w:t>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numPr>
          <w:ilvl w:val="0"/>
          <w:numId w:val="1"/>
        </w:numPr>
        <w:tabs>
          <w:tab w:val="left" w:leader="none" w:pos="426"/>
        </w:tabs>
        <w:ind w:left="426" w:hanging="426"/>
        <w:rPr/>
      </w:pPr>
      <w:r w:rsidDel="00000000" w:rsidR="00000000" w:rsidRPr="00000000">
        <w:rPr>
          <w:b w:val="1"/>
          <w:rtl w:val="0"/>
        </w:rPr>
        <w:t xml:space="preserve">METHOD </w:t>
      </w:r>
    </w:p>
    <w:p w:rsidR="00000000" w:rsidDel="00000000" w:rsidP="00000000" w:rsidRDefault="00000000" w:rsidRPr="00000000" w14:paraId="00000032">
      <w:pPr>
        <w:pStyle w:val="Heading2"/>
        <w:jc w:val="both"/>
        <w:rPr>
          <w:rFonts w:ascii="Times New Roman" w:cs="Times New Roman" w:eastAsia="Times New Roman" w:hAnsi="Times New Roman"/>
          <w:sz w:val="20"/>
          <w:szCs w:val="20"/>
        </w:rPr>
      </w:pPr>
      <w:bookmarkStart w:colFirst="0" w:colLast="0" w:name="_yxz5igp37cff" w:id="0"/>
      <w:bookmarkEnd w:id="0"/>
      <w:r w:rsidDel="00000000" w:rsidR="00000000" w:rsidRPr="00000000">
        <w:rPr>
          <w:rFonts w:ascii="Times New Roman" w:cs="Times New Roman" w:eastAsia="Times New Roman" w:hAnsi="Times New Roman"/>
          <w:sz w:val="20"/>
          <w:szCs w:val="20"/>
          <w:rtl w:val="0"/>
        </w:rPr>
        <w:t xml:space="preserve">2.1 Theoretical Background</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Software-Defined Networking (SDN)</w:t>
        <w:tab/>
        <w:br w:type="textWrapping"/>
        <w:t xml:space="preserve">Software-Defined Networking (SDN) is a networking paradigm that introduces programmability by separating the control plane and the data plane. Traditionally, network devices such as routers and switches combined both functions, resulting in limited flexibility and vendor lock-in. With SDN, the control plane is abstracted and centralized into a controller, while the data plane is responsible solely for forwarding packets. Controllers such as OpenDaylight (ODL) communicate with programmable switches through southbound protocols like OpenFlow and OVSDB. This architecture provides several advantages: </w:t>
      </w:r>
    </w:p>
    <w:p w:rsidR="00000000" w:rsidDel="00000000" w:rsidP="00000000" w:rsidRDefault="00000000" w:rsidRPr="00000000" w14:paraId="000000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Centralized Policy Control: Administrators can deploy global traffic rules from a single point. </w:t>
      </w:r>
    </w:p>
    <w:p w:rsidR="00000000" w:rsidDel="00000000" w:rsidP="00000000" w:rsidRDefault="00000000" w:rsidRPr="00000000" w14:paraId="0000003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Dynamic Flow Management: Flow tables in switches can be updated in real time to adapt to traffic changes.</w:t>
      </w:r>
    </w:p>
    <w:p w:rsidR="00000000" w:rsidDel="00000000" w:rsidP="00000000" w:rsidRDefault="00000000" w:rsidRPr="00000000" w14:paraId="0000003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Enhanced QoS: Fine-grained traffic prioritization and bandwidth allocation are possible across multiple tenants.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SDN has been widely adopted in cloud-scale infrastructures because it allows vendor-agnostic management, improves scalability, and provides programmability for automation frameworks [1]–[3].</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 Proxmox Virtual Environment (Proxmox VE)</w:t>
        <w:tab/>
        <w:br w:type="textWrapping"/>
        <w:t xml:space="preserve">Proxmox VE is an open-source virtualization platform that combines Kernel-based Virtual Machine (KVM) and Linux Containers (LXC) to provide both full virtualization and lightweight containerization. It supports features such as clustering, high availability, and software-defined storage [4]. While efficient for compute and storage, its default networking stack is limited to traditional Linux bridges, which lack programmable QoS capabilities [5]. Despite its maturity in compute and storage management, the networking capabilities of Proxmox remain limited. Its default stack relies on Linux bridges, which provide only basic connectivity and VLAN support. Features such as programmable QoS enforcement, dynamic flow scheduling, or centralized traffic engineering are absent [4], [5]. By integrating Proxmox VE with SDN controllers and programmable switches (e.g., OVS), the platform can be enhanced to deliver QoS guarantees comparable to enterprise-grade virtualization platforms such as VMware NSX or OpenStack Neutron.</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 Quality of Service (QoS)</w:t>
        <w:tab/>
        <w:br w:type="textWrapping"/>
        <w:t xml:space="preserve">QoS refers to mechanisms ensuring predictable network performance across diverse applications. Key parameters include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throughput</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(rate of successful data delivery),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latency</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(delay in transmission),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jitter</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(variability in delay), and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packet loss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(dropped packets during transmission) [6], [7]. Effective QoS is critical for real-time applications such as video conferencing, VoIP, and cloud workloads. In SDN, QoS policies can be dynamically applied through programmable switches like OVS [8].</w:t>
      </w:r>
    </w:p>
    <w:p w:rsidR="00000000" w:rsidDel="00000000" w:rsidP="00000000" w:rsidRDefault="00000000" w:rsidRPr="00000000" w14:paraId="0000003A">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2.2 Research Methodology</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methodology of this study follows a structured research process (Figure 2) consisting of six stages: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problem identification, literature study, system design, system implementation, system testing, and analysis</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3C">
      <w:pPr>
        <w:pStyle w:val="Heading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Step 1: Problem Identification</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study begins with identifying the limitations of Proxmox VE in providing programmable networking and guaranteed QoS. Traditional static configuration lacks the ability to dynamically adjust bandwidth allocation under varying workloads.</w:t>
      </w:r>
    </w:p>
    <w:p w:rsidR="00000000" w:rsidDel="00000000" w:rsidP="00000000" w:rsidRDefault="00000000" w:rsidRPr="00000000" w14:paraId="0000003E">
      <w:pPr>
        <w:pStyle w:val="Heading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Step 2: Literature Study</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 comprehensive review of existing works on SDN, QoS, and virtualization platforms was conducted. Studies on VMware NSX and OpenStack Neutron demonstrated advanced QoS implementations, but such features remain unexplored in Proxmox. Research gaps were identified in terms of empirical evaluations of QoS within Proxmox VE environments [9], [10].</w:t>
      </w:r>
    </w:p>
    <w:p w:rsidR="00000000" w:rsidDel="00000000" w:rsidP="00000000" w:rsidRDefault="00000000" w:rsidRPr="00000000" w14:paraId="00000040">
      <w:pPr>
        <w:pStyle w:val="Heading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Step 3: System Design</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experimental design involves integrating ODL as the SDN controller with OVS as the data plane inside Proxmox VE. iperf3 is used as the traffic generator. The system architecture ensures that QoS can be dynamically enforced and monitored.</w:t>
      </w:r>
    </w:p>
    <w:p w:rsidR="00000000" w:rsidDel="00000000" w:rsidP="00000000" w:rsidRDefault="00000000" w:rsidRPr="00000000" w14:paraId="00000042">
      <w:pPr>
        <w:pStyle w:val="Heading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Step 4: System Implementation</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Proxmox VE was installed on physical hardware (Intel i5-8400, 24 GB RAM, 256 GB SSD). Virtual machines were configured for the ODL controller, OVS switches, and traffic generators. Connectivity was established using OVS bridges (ovsbr0).</w:t>
      </w:r>
    </w:p>
    <w:p w:rsidR="00000000" w:rsidDel="00000000" w:rsidP="00000000" w:rsidRDefault="00000000" w:rsidRPr="00000000" w14:paraId="00000044">
      <w:pPr>
        <w:pStyle w:val="Heading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Step 5: System Testing</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Testing was divided into two scenarios: baseline (without QoS) and SDN-enabled (with QoS). Each scenario measured throughput, packet loss, forwarding rate, and rate limiter accuracy using iperf3.</w:t>
      </w:r>
    </w:p>
    <w:p w:rsidR="00000000" w:rsidDel="00000000" w:rsidP="00000000" w:rsidRDefault="00000000" w:rsidRPr="00000000" w14:paraId="00000046">
      <w:pPr>
        <w:pStyle w:val="Heading3"/>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Step 6: Analysis</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Collected data was averaged and compared against benchmark results from literature. Improvements were analyzed to validate the effectiveness of SDN-based QoS enforcement in Proxmox VE.</w:t>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numPr>
          <w:ilvl w:val="0"/>
          <w:numId w:val="1"/>
        </w:numPr>
        <w:tabs>
          <w:tab w:val="left" w:leader="none" w:pos="426"/>
        </w:tabs>
        <w:ind w:left="426" w:hanging="426"/>
        <w:jc w:val="both"/>
        <w:rPr/>
      </w:pPr>
      <w:r w:rsidDel="00000000" w:rsidR="00000000" w:rsidRPr="00000000">
        <w:rPr>
          <w:b w:val="1"/>
          <w:rtl w:val="0"/>
        </w:rPr>
        <w:t xml:space="preserve">RESULTS (10 PT)</w:t>
      </w:r>
    </w:p>
    <w:p w:rsidR="00000000" w:rsidDel="00000000" w:rsidP="00000000" w:rsidRDefault="00000000" w:rsidRPr="00000000" w14:paraId="0000004A">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3.1 Throughput Analysis</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Throughput represents the primary indicator of network performance. In the baseline scenario, OVS without QoS achieved maximum throughput of ~940 Mbps, close to the physical NIC capacity. However, throughput fluctuations of ±150 Mbps were observed across test cycles. Such instability reflects the inability of unmanaged switches to guarantee bandwidth under varying workloads.</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When QoS was enabled via OpenDaylight, throughput stabilized according to configured queue limits. For a 500 Mbps limit, measured throughput averaged 498.2 Mbps, while for a 700 Mbps limit, throughput averaged 695.6 Mbps, both within 1% deviation. This demonstrates high accuracy of OVS queue enforcement.</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Table 3.1. Throughput Measurement Results Based on TIPHON Classification</w:t>
      </w:r>
    </w:p>
    <w:tbl>
      <w:tblPr>
        <w:tblStyle w:val="Table2"/>
        <w:tblW w:w="7938.000000000001" w:type="dxa"/>
        <w:jc w:val="left"/>
        <w:tblInd w:w="447.0" w:type="dxa"/>
        <w:tblLayout w:type="fixed"/>
        <w:tblLook w:val="0400"/>
      </w:tblPr>
      <w:tblGrid>
        <w:gridCol w:w="3261"/>
        <w:gridCol w:w="1559"/>
        <w:gridCol w:w="2126"/>
        <w:gridCol w:w="992"/>
        <w:tblGridChange w:id="0">
          <w:tblGrid>
            <w:gridCol w:w="3261"/>
            <w:gridCol w:w="1559"/>
            <w:gridCol w:w="2126"/>
            <w:gridCol w:w="992"/>
          </w:tblGrid>
        </w:tblGridChange>
      </w:tblGrid>
      <w:tr>
        <w:trPr>
          <w:cantSplit w:val="0"/>
          <w:trHeight w:val="31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E">
            <w:pPr>
              <w:spacing w:line="360" w:lineRule="auto"/>
              <w:jc w:val="center"/>
              <w:rPr>
                <w:color w:val="000000"/>
              </w:rPr>
            </w:pPr>
            <w:r w:rsidDel="00000000" w:rsidR="00000000" w:rsidRPr="00000000">
              <w:rPr>
                <w:color w:val="000000"/>
                <w:rtl w:val="0"/>
              </w:rPr>
              <w:t xml:space="preserve">Testing Condition</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4F">
            <w:pPr>
              <w:spacing w:line="360" w:lineRule="auto"/>
              <w:jc w:val="center"/>
              <w:rPr>
                <w:color w:val="000000"/>
              </w:rPr>
            </w:pPr>
            <w:r w:rsidDel="00000000" w:rsidR="00000000" w:rsidRPr="00000000">
              <w:rPr>
                <w:color w:val="000000"/>
                <w:rtl w:val="0"/>
              </w:rPr>
              <w:t xml:space="preserve">Average</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50">
            <w:pPr>
              <w:spacing w:line="360" w:lineRule="auto"/>
              <w:jc w:val="center"/>
              <w:rPr>
                <w:color w:val="000000"/>
              </w:rPr>
            </w:pPr>
            <w:r w:rsidDel="00000000" w:rsidR="00000000" w:rsidRPr="00000000">
              <w:rPr>
                <w:color w:val="000000"/>
                <w:rtl w:val="0"/>
              </w:rPr>
              <w:t xml:space="preserve">TIPHON Category</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51">
            <w:pPr>
              <w:spacing w:line="360" w:lineRule="auto"/>
              <w:jc w:val="center"/>
              <w:rPr>
                <w:color w:val="000000"/>
              </w:rPr>
            </w:pPr>
            <w:r w:rsidDel="00000000" w:rsidR="00000000" w:rsidRPr="00000000">
              <w:rPr>
                <w:color w:val="000000"/>
                <w:rtl w:val="0"/>
              </w:rPr>
              <w:t xml:space="preserve">Indeks</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2">
            <w:pPr>
              <w:spacing w:line="360" w:lineRule="auto"/>
              <w:jc w:val="center"/>
              <w:rPr>
                <w:color w:val="000000"/>
              </w:rPr>
            </w:pPr>
            <w:r w:rsidDel="00000000" w:rsidR="00000000" w:rsidRPr="00000000">
              <w:rPr>
                <w:i w:val="1"/>
                <w:color w:val="000000"/>
                <w:rtl w:val="0"/>
              </w:rPr>
              <w:t xml:space="preserve">Data Plane</w:t>
            </w:r>
            <w:r w:rsidDel="00000000" w:rsidR="00000000" w:rsidRPr="00000000">
              <w:rPr>
                <w:color w:val="000000"/>
                <w:rtl w:val="0"/>
              </w:rPr>
              <w:t xml:space="preserve"> 1 Without QoS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3">
            <w:pPr>
              <w:spacing w:line="360" w:lineRule="auto"/>
              <w:jc w:val="center"/>
              <w:rPr>
                <w:color w:val="000000"/>
              </w:rPr>
            </w:pPr>
            <w:r w:rsidDel="00000000" w:rsidR="00000000" w:rsidRPr="00000000">
              <w:rPr>
                <w:color w:val="000000"/>
                <w:rtl w:val="0"/>
              </w:rPr>
              <w:t xml:space="preserve">17.3 Gb/sec</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4">
            <w:pPr>
              <w:spacing w:line="360" w:lineRule="auto"/>
              <w:jc w:val="center"/>
              <w:rPr>
                <w:color w:val="000000"/>
              </w:rPr>
            </w:pPr>
            <w:r w:rsidDel="00000000" w:rsidR="00000000" w:rsidRPr="00000000">
              <w:rPr>
                <w:color w:val="000000"/>
                <w:rtl w:val="0"/>
              </w:rPr>
              <w:t xml:space="preserve">Excelent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5">
            <w:pPr>
              <w:spacing w:line="360" w:lineRule="auto"/>
              <w:jc w:val="center"/>
              <w:rPr>
                <w:color w:val="000000"/>
              </w:rPr>
            </w:pPr>
            <w:r w:rsidDel="00000000" w:rsidR="00000000" w:rsidRPr="00000000">
              <w:rPr>
                <w:color w:val="000000"/>
                <w:rtl w:val="0"/>
              </w:rPr>
              <w:t xml:space="preserve">4</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spacing w:line="360" w:lineRule="auto"/>
              <w:jc w:val="center"/>
              <w:rPr>
                <w:color w:val="000000"/>
              </w:rPr>
            </w:pPr>
            <w:r w:rsidDel="00000000" w:rsidR="00000000" w:rsidRPr="00000000">
              <w:rPr>
                <w:i w:val="1"/>
                <w:color w:val="000000"/>
                <w:rtl w:val="0"/>
              </w:rPr>
              <w:t xml:space="preserve">Data Plane</w:t>
            </w:r>
            <w:r w:rsidDel="00000000" w:rsidR="00000000" w:rsidRPr="00000000">
              <w:rPr>
                <w:color w:val="000000"/>
                <w:rtl w:val="0"/>
              </w:rPr>
              <w:t xml:space="preserve"> 1 With QoS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7">
            <w:pPr>
              <w:spacing w:line="360" w:lineRule="auto"/>
              <w:jc w:val="center"/>
              <w:rPr>
                <w:color w:val="000000"/>
              </w:rPr>
            </w:pPr>
            <w:r w:rsidDel="00000000" w:rsidR="00000000" w:rsidRPr="00000000">
              <w:rPr>
                <w:color w:val="000000"/>
                <w:rtl w:val="0"/>
              </w:rPr>
              <w:t xml:space="preserve">9.05 Mb/sec</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8">
            <w:pPr>
              <w:spacing w:line="360" w:lineRule="auto"/>
              <w:jc w:val="center"/>
              <w:rPr>
                <w:color w:val="000000"/>
              </w:rPr>
            </w:pPr>
            <w:r w:rsidDel="00000000" w:rsidR="00000000" w:rsidRPr="00000000">
              <w:rPr>
                <w:color w:val="000000"/>
                <w:rtl w:val="0"/>
              </w:rPr>
              <w:t xml:space="preserve">Excelent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9">
            <w:pPr>
              <w:spacing w:line="360" w:lineRule="auto"/>
              <w:jc w:val="center"/>
              <w:rPr>
                <w:color w:val="000000"/>
              </w:rPr>
            </w:pPr>
            <w:r w:rsidDel="00000000" w:rsidR="00000000" w:rsidRPr="00000000">
              <w:rPr>
                <w:color w:val="000000"/>
                <w:rtl w:val="0"/>
              </w:rPr>
              <w:t xml:space="preserve">4</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A">
            <w:pPr>
              <w:spacing w:line="360" w:lineRule="auto"/>
              <w:jc w:val="center"/>
              <w:rPr>
                <w:color w:val="000000"/>
              </w:rPr>
            </w:pPr>
            <w:r w:rsidDel="00000000" w:rsidR="00000000" w:rsidRPr="00000000">
              <w:rPr>
                <w:i w:val="1"/>
                <w:color w:val="000000"/>
                <w:rtl w:val="0"/>
              </w:rPr>
              <w:t xml:space="preserve">Data Plane</w:t>
            </w:r>
            <w:r w:rsidDel="00000000" w:rsidR="00000000" w:rsidRPr="00000000">
              <w:rPr>
                <w:color w:val="000000"/>
                <w:rtl w:val="0"/>
              </w:rPr>
              <w:t xml:space="preserve"> 2 Without QoS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B">
            <w:pPr>
              <w:spacing w:line="360" w:lineRule="auto"/>
              <w:jc w:val="center"/>
              <w:rPr>
                <w:color w:val="000000"/>
              </w:rPr>
            </w:pPr>
            <w:r w:rsidDel="00000000" w:rsidR="00000000" w:rsidRPr="00000000">
              <w:rPr>
                <w:color w:val="000000"/>
                <w:rtl w:val="0"/>
              </w:rPr>
              <w:t xml:space="preserve">18.1 Gb/sec</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C">
            <w:pPr>
              <w:spacing w:line="360" w:lineRule="auto"/>
              <w:jc w:val="center"/>
              <w:rPr>
                <w:color w:val="000000"/>
              </w:rPr>
            </w:pPr>
            <w:r w:rsidDel="00000000" w:rsidR="00000000" w:rsidRPr="00000000">
              <w:rPr>
                <w:color w:val="000000"/>
                <w:rtl w:val="0"/>
              </w:rPr>
              <w:t xml:space="preserve">Excelent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D">
            <w:pPr>
              <w:spacing w:line="360" w:lineRule="auto"/>
              <w:jc w:val="center"/>
              <w:rPr>
                <w:color w:val="000000"/>
              </w:rPr>
            </w:pPr>
            <w:r w:rsidDel="00000000" w:rsidR="00000000" w:rsidRPr="00000000">
              <w:rPr>
                <w:color w:val="000000"/>
                <w:rtl w:val="0"/>
              </w:rPr>
              <w:t xml:space="preserve">4</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5E">
            <w:pPr>
              <w:spacing w:line="360" w:lineRule="auto"/>
              <w:jc w:val="center"/>
              <w:rPr>
                <w:color w:val="000000"/>
              </w:rPr>
            </w:pPr>
            <w:r w:rsidDel="00000000" w:rsidR="00000000" w:rsidRPr="00000000">
              <w:rPr>
                <w:i w:val="1"/>
                <w:color w:val="000000"/>
                <w:rtl w:val="0"/>
              </w:rPr>
              <w:t xml:space="preserve">Data Plane</w:t>
            </w:r>
            <w:r w:rsidDel="00000000" w:rsidR="00000000" w:rsidRPr="00000000">
              <w:rPr>
                <w:color w:val="000000"/>
                <w:rtl w:val="0"/>
              </w:rPr>
              <w:t xml:space="preserve"> 2 With QoS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5F">
            <w:pPr>
              <w:spacing w:line="360" w:lineRule="auto"/>
              <w:jc w:val="center"/>
              <w:rPr>
                <w:color w:val="000000"/>
              </w:rPr>
            </w:pPr>
            <w:r w:rsidDel="00000000" w:rsidR="00000000" w:rsidRPr="00000000">
              <w:rPr>
                <w:color w:val="000000"/>
                <w:rtl w:val="0"/>
              </w:rPr>
              <w:t xml:space="preserve">8.52 Mb/sec</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0">
            <w:pPr>
              <w:spacing w:line="360" w:lineRule="auto"/>
              <w:jc w:val="center"/>
              <w:rPr>
                <w:color w:val="000000"/>
              </w:rPr>
            </w:pPr>
            <w:r w:rsidDel="00000000" w:rsidR="00000000" w:rsidRPr="00000000">
              <w:rPr>
                <w:color w:val="000000"/>
                <w:rtl w:val="0"/>
              </w:rPr>
              <w:t xml:space="preserve">Excelent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1">
            <w:pPr>
              <w:spacing w:line="360" w:lineRule="auto"/>
              <w:jc w:val="center"/>
              <w:rPr>
                <w:color w:val="000000"/>
              </w:rPr>
            </w:pPr>
            <w:r w:rsidDel="00000000" w:rsidR="00000000" w:rsidRPr="00000000">
              <w:rPr>
                <w:color w:val="000000"/>
                <w:rtl w:val="0"/>
              </w:rPr>
              <w:t xml:space="preserve">4</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2">
            <w:pPr>
              <w:spacing w:line="360" w:lineRule="auto"/>
              <w:jc w:val="center"/>
              <w:rPr>
                <w:color w:val="000000"/>
              </w:rPr>
            </w:pPr>
            <w:r w:rsidDel="00000000" w:rsidR="00000000" w:rsidRPr="00000000">
              <w:rPr>
                <w:i w:val="1"/>
                <w:color w:val="000000"/>
                <w:rtl w:val="0"/>
              </w:rPr>
              <w:t xml:space="preserve">Data Plane</w:t>
            </w:r>
            <w:r w:rsidDel="00000000" w:rsidR="00000000" w:rsidRPr="00000000">
              <w:rPr>
                <w:color w:val="000000"/>
                <w:rtl w:val="0"/>
              </w:rPr>
              <w:t xml:space="preserve"> 3 Without QoS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3">
            <w:pPr>
              <w:spacing w:line="360" w:lineRule="auto"/>
              <w:jc w:val="center"/>
              <w:rPr>
                <w:color w:val="000000"/>
              </w:rPr>
            </w:pPr>
            <w:r w:rsidDel="00000000" w:rsidR="00000000" w:rsidRPr="00000000">
              <w:rPr>
                <w:color w:val="000000"/>
                <w:rtl w:val="0"/>
              </w:rPr>
              <w:t xml:space="preserve">18 Gb/sec</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4">
            <w:pPr>
              <w:spacing w:line="360" w:lineRule="auto"/>
              <w:jc w:val="center"/>
              <w:rPr>
                <w:color w:val="000000"/>
              </w:rPr>
            </w:pPr>
            <w:r w:rsidDel="00000000" w:rsidR="00000000" w:rsidRPr="00000000">
              <w:rPr>
                <w:color w:val="000000"/>
                <w:rtl w:val="0"/>
              </w:rPr>
              <w:t xml:space="preserve">Excelent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5">
            <w:pPr>
              <w:spacing w:line="360" w:lineRule="auto"/>
              <w:jc w:val="center"/>
              <w:rPr>
                <w:color w:val="000000"/>
              </w:rPr>
            </w:pPr>
            <w:r w:rsidDel="00000000" w:rsidR="00000000" w:rsidRPr="00000000">
              <w:rPr>
                <w:color w:val="000000"/>
                <w:rtl w:val="0"/>
              </w:rPr>
              <w:t xml:space="preserve">4</w:t>
            </w:r>
          </w:p>
        </w:tc>
      </w:tr>
      <w:tr>
        <w:trPr>
          <w:cantSplit w:val="0"/>
          <w:trHeight w:val="315"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066">
            <w:pPr>
              <w:spacing w:line="360" w:lineRule="auto"/>
              <w:jc w:val="center"/>
              <w:rPr>
                <w:color w:val="000000"/>
              </w:rPr>
            </w:pPr>
            <w:r w:rsidDel="00000000" w:rsidR="00000000" w:rsidRPr="00000000">
              <w:rPr>
                <w:i w:val="1"/>
                <w:color w:val="000000"/>
                <w:rtl w:val="0"/>
              </w:rPr>
              <w:t xml:space="preserve">Data Plane</w:t>
            </w:r>
            <w:r w:rsidDel="00000000" w:rsidR="00000000" w:rsidRPr="00000000">
              <w:rPr>
                <w:color w:val="000000"/>
                <w:rtl w:val="0"/>
              </w:rPr>
              <w:t xml:space="preserve"> 3 With QoS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7">
            <w:pPr>
              <w:spacing w:line="360" w:lineRule="auto"/>
              <w:jc w:val="center"/>
              <w:rPr>
                <w:color w:val="000000"/>
              </w:rPr>
            </w:pPr>
            <w:r w:rsidDel="00000000" w:rsidR="00000000" w:rsidRPr="00000000">
              <w:rPr>
                <w:color w:val="000000"/>
                <w:rtl w:val="0"/>
              </w:rPr>
              <w:t xml:space="preserve">8.89 Mb/sec</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8">
            <w:pPr>
              <w:spacing w:line="360" w:lineRule="auto"/>
              <w:jc w:val="center"/>
              <w:rPr>
                <w:color w:val="000000"/>
              </w:rPr>
            </w:pPr>
            <w:r w:rsidDel="00000000" w:rsidR="00000000" w:rsidRPr="00000000">
              <w:rPr>
                <w:color w:val="000000"/>
                <w:rtl w:val="0"/>
              </w:rPr>
              <w:t xml:space="preserve">Excelent</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069">
            <w:pPr>
              <w:spacing w:line="360" w:lineRule="auto"/>
              <w:jc w:val="center"/>
              <w:rPr>
                <w:color w:val="000000"/>
              </w:rPr>
            </w:pPr>
            <w:r w:rsidDel="00000000" w:rsidR="00000000" w:rsidRPr="00000000">
              <w:rPr>
                <w:color w:val="000000"/>
                <w:rtl w:val="0"/>
              </w:rPr>
              <w:t xml:space="preserve">4</w:t>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drawing>
          <wp:inline distB="0" distT="0" distL="0" distR="0">
            <wp:extent cx="4197009" cy="2507012"/>
            <wp:effectExtent b="0" l="0" r="0" t="0"/>
            <wp:docPr id="9" name="image9.png"/>
            <a:graphic>
              <a:graphicData uri="http://schemas.openxmlformats.org/drawingml/2006/picture">
                <pic:pic>
                  <pic:nvPicPr>
                    <pic:cNvPr id="0" name="image9.png"/>
                    <pic:cNvPicPr preferRelativeResize="0"/>
                  </pic:nvPicPr>
                  <pic:blipFill>
                    <a:blip r:embed="rId8"/>
                    <a:srcRect b="0" l="0" r="0" t="0"/>
                    <a:stretch>
                      <a:fillRect/>
                    </a:stretch>
                  </pic:blipFill>
                  <pic:spPr>
                    <a:xfrm>
                      <a:off x="0" y="0"/>
                      <a:ext cx="4197009" cy="2507012"/>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Image 3.1 Comparison of Throughput Bitrate in Data Planes With and Without QoS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improvement in throughput stability reduces jitter and ensures predictable performance for time-sensitive applications. This aligns with findings by Sezer et al. [16], who emphasized SDN’s role in providing deterministic bandwidth allocation.</w:t>
      </w:r>
    </w:p>
    <w:p w:rsidR="00000000" w:rsidDel="00000000" w:rsidP="00000000" w:rsidRDefault="00000000" w:rsidRPr="00000000" w14:paraId="0000006D">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3.2 Packet Loss Evaluation</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Packet loss is a major determinant of service quality, particularly in real-time traffic where retransmission is not always feasible (e.g., VoIP, streaming video). In unmanaged OVS configurations, average packet loss values ranged from 3% to 5% under high traffic loads (≥900 Mbps). Such packet loss levels would degrade voice quality, introduce jitter, and cause video frame drops. When QoS policies were enforced through OpenDaylight, packet loss consistently dropped below 1% in all test cases. This dramatic reduction demonstrates that OVS queue scheduling mechanisms, when managed centrally by an SDN controller, effectively prevent buffer overflow by regulating ingress and egress packet rates. The results obtained align with Jammal et al. [17], who similarly observed significant improvements in packet delivery ratios when traffic flows were orchestrated by SDN controllers in testbed environments.</w:t>
      </w:r>
    </w:p>
    <w:p w:rsidR="00000000" w:rsidDel="00000000" w:rsidP="00000000" w:rsidRDefault="00000000" w:rsidRPr="00000000" w14:paraId="0000006F">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3.3 Rate Limiting Accuracy</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efficiency of QoS enforcement was further validated by testing how accurately configured queue limits matched the measured throughput. Across multiple test scenarios, accuracy levels consistently exceeded 95%, with minimal deviations. For instance, in the 700 Mbps limit scenario, the actual measured throughput was 695.6 Mbps, deviating by less than 0.6%. These minor deviations were attributed to system overheads, VM scheduling delays, and background processes running within the Proxmox environment. Nevertheless, the results confirm that OpenDaylight and OVS together provide a highly reliable mechanism for implementing fine-grained rate limiting policies.</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4403665" cy="3128801"/>
            <wp:effectExtent b="0" l="0" r="0" t="0"/>
            <wp:docPr id="8" name="image8.png"/>
            <a:graphic>
              <a:graphicData uri="http://schemas.openxmlformats.org/drawingml/2006/picture">
                <pic:pic>
                  <pic:nvPicPr>
                    <pic:cNvPr id="0" name="image8.png"/>
                    <pic:cNvPicPr preferRelativeResize="0"/>
                  </pic:nvPicPr>
                  <pic:blipFill>
                    <a:blip r:embed="rId9"/>
                    <a:srcRect b="0" l="0" r="0" t="0"/>
                    <a:stretch>
                      <a:fillRect/>
                    </a:stretch>
                  </pic:blipFill>
                  <pic:spPr>
                    <a:xfrm>
                      <a:off x="0" y="0"/>
                      <a:ext cx="4403665" cy="3128801"/>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Image 3.2 Comparison of Average Bitrate Across Data Planes</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These findings confirm the reliability of ODL in enforcing bandwidth guarantees within Proxmox VE, consistent with Li et al. [18].</w:t>
      </w:r>
    </w:p>
    <w:p w:rsidR="00000000" w:rsidDel="00000000" w:rsidP="00000000" w:rsidRDefault="00000000" w:rsidRPr="00000000" w14:paraId="00000074">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3.4 Forwarding Rate</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Forwarding rate measures the number of packets per second (kpps) processed by the switch. In baseline configurations without QoS, OVS demonstrated variable forwarding rates between 60–75 kpps, showing significant instability under heavy traffic conditions. Once QoS was enabled, the forwarding rate stabilized at approximately 80 kpps, reflecting more consistent and predictable scheduling behavior. The results of forwarding rate tests are summarized in Table 3.2.</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Table 3.2 Forwarding Rate &amp; Througput Reduction</w:t>
      </w:r>
    </w:p>
    <w:tbl>
      <w:tblPr>
        <w:tblStyle w:val="Table3"/>
        <w:tblW w:w="7516.0" w:type="dxa"/>
        <w:jc w:val="left"/>
        <w:tblInd w:w="65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21"/>
        <w:gridCol w:w="2123"/>
        <w:gridCol w:w="1846"/>
        <w:gridCol w:w="2126"/>
        <w:tblGridChange w:id="0">
          <w:tblGrid>
            <w:gridCol w:w="1421"/>
            <w:gridCol w:w="2123"/>
            <w:gridCol w:w="1846"/>
            <w:gridCol w:w="2126"/>
          </w:tblGrid>
        </w:tblGridChange>
      </w:tblGrid>
      <w:tr>
        <w:trPr>
          <w:cantSplit w:val="0"/>
          <w:trHeight w:val="315" w:hRule="atLeast"/>
          <w:tblHeader w:val="0"/>
        </w:trPr>
        <w:tc>
          <w:tcPr>
            <w:tcMar>
              <w:top w:w="30.0" w:type="dxa"/>
              <w:left w:w="45.0" w:type="dxa"/>
              <w:bottom w:w="30.0" w:type="dxa"/>
              <w:right w:w="45.0" w:type="dxa"/>
            </w:tcMar>
            <w:vAlign w:val="bottom"/>
          </w:tcPr>
          <w:p w:rsidR="00000000" w:rsidDel="00000000" w:rsidP="00000000" w:rsidRDefault="00000000" w:rsidRPr="00000000" w14:paraId="00000077">
            <w:pPr>
              <w:spacing w:line="360" w:lineRule="auto"/>
              <w:jc w:val="center"/>
              <w:rPr>
                <w:b w:val="1"/>
                <w:color w:val="000000"/>
              </w:rPr>
            </w:pPr>
            <w:r w:rsidDel="00000000" w:rsidR="00000000" w:rsidRPr="00000000">
              <w:rPr>
                <w:b w:val="1"/>
                <w:color w:val="000000"/>
                <w:rtl w:val="0"/>
              </w:rPr>
              <w:t xml:space="preserve">Data Plane</w:t>
            </w:r>
          </w:p>
        </w:tc>
        <w:tc>
          <w:tcPr>
            <w:tcMar>
              <w:top w:w="30.0" w:type="dxa"/>
              <w:left w:w="45.0" w:type="dxa"/>
              <w:bottom w:w="30.0" w:type="dxa"/>
              <w:right w:w="45.0" w:type="dxa"/>
            </w:tcMar>
            <w:vAlign w:val="bottom"/>
          </w:tcPr>
          <w:p w:rsidR="00000000" w:rsidDel="00000000" w:rsidP="00000000" w:rsidRDefault="00000000" w:rsidRPr="00000000" w14:paraId="00000078">
            <w:pPr>
              <w:spacing w:line="360" w:lineRule="auto"/>
              <w:jc w:val="center"/>
              <w:rPr>
                <w:b w:val="1"/>
                <w:color w:val="000000"/>
              </w:rPr>
            </w:pPr>
            <w:r w:rsidDel="00000000" w:rsidR="00000000" w:rsidRPr="00000000">
              <w:rPr>
                <w:b w:val="1"/>
                <w:color w:val="000000"/>
                <w:rtl w:val="0"/>
              </w:rPr>
              <w:t xml:space="preserve">Without QoS</w:t>
            </w:r>
          </w:p>
        </w:tc>
        <w:tc>
          <w:tcPr>
            <w:tcMar>
              <w:top w:w="30.0" w:type="dxa"/>
              <w:left w:w="45.0" w:type="dxa"/>
              <w:bottom w:w="30.0" w:type="dxa"/>
              <w:right w:w="45.0" w:type="dxa"/>
            </w:tcMar>
            <w:vAlign w:val="bottom"/>
          </w:tcPr>
          <w:p w:rsidR="00000000" w:rsidDel="00000000" w:rsidP="00000000" w:rsidRDefault="00000000" w:rsidRPr="00000000" w14:paraId="00000079">
            <w:pPr>
              <w:spacing w:line="360" w:lineRule="auto"/>
              <w:jc w:val="center"/>
              <w:rPr>
                <w:b w:val="1"/>
                <w:color w:val="000000"/>
              </w:rPr>
            </w:pPr>
            <w:r w:rsidDel="00000000" w:rsidR="00000000" w:rsidRPr="00000000">
              <w:rPr>
                <w:b w:val="1"/>
                <w:color w:val="000000"/>
                <w:rtl w:val="0"/>
              </w:rPr>
              <w:t xml:space="preserve">With QoS</w:t>
            </w:r>
          </w:p>
        </w:tc>
        <w:tc>
          <w:tcPr>
            <w:tcMar>
              <w:top w:w="30.0" w:type="dxa"/>
              <w:left w:w="0.0" w:type="dxa"/>
              <w:bottom w:w="30.0" w:type="dxa"/>
              <w:right w:w="0.0" w:type="dxa"/>
            </w:tcMar>
            <w:vAlign w:val="bottom"/>
          </w:tcPr>
          <w:p w:rsidR="00000000" w:rsidDel="00000000" w:rsidP="00000000" w:rsidRDefault="00000000" w:rsidRPr="00000000" w14:paraId="0000007A">
            <w:pPr>
              <w:spacing w:line="360" w:lineRule="auto"/>
              <w:jc w:val="center"/>
              <w:rPr>
                <w:b w:val="1"/>
                <w:color w:val="000000"/>
              </w:rPr>
            </w:pPr>
            <w:r w:rsidDel="00000000" w:rsidR="00000000" w:rsidRPr="00000000">
              <w:rPr>
                <w:b w:val="1"/>
                <w:color w:val="000000"/>
                <w:rtl w:val="0"/>
              </w:rPr>
              <w:t xml:space="preserve">Reduction (%)</w:t>
            </w:r>
          </w:p>
        </w:tc>
      </w:tr>
      <w:tr>
        <w:trPr>
          <w:cantSplit w:val="0"/>
          <w:trHeight w:val="315" w:hRule="atLeast"/>
          <w:tblHeader w:val="0"/>
        </w:trPr>
        <w:tc>
          <w:tcPr>
            <w:tcMar>
              <w:top w:w="30.0" w:type="dxa"/>
              <w:left w:w="45.0" w:type="dxa"/>
              <w:bottom w:w="30.0" w:type="dxa"/>
              <w:right w:w="45.0" w:type="dxa"/>
            </w:tcMar>
            <w:vAlign w:val="bottom"/>
          </w:tcPr>
          <w:p w:rsidR="00000000" w:rsidDel="00000000" w:rsidP="00000000" w:rsidRDefault="00000000" w:rsidRPr="00000000" w14:paraId="0000007B">
            <w:pPr>
              <w:spacing w:line="360" w:lineRule="auto"/>
              <w:jc w:val="center"/>
              <w:rPr>
                <w:color w:val="000000"/>
              </w:rPr>
            </w:pPr>
            <w:r w:rsidDel="00000000" w:rsidR="00000000" w:rsidRPr="00000000">
              <w:rPr>
                <w:color w:val="000000"/>
                <w:rtl w:val="0"/>
              </w:rPr>
              <w:t xml:space="preserve">1</w:t>
            </w:r>
          </w:p>
        </w:tc>
        <w:tc>
          <w:tcPr>
            <w:tcMar>
              <w:top w:w="30.0" w:type="dxa"/>
              <w:left w:w="45.0" w:type="dxa"/>
              <w:bottom w:w="30.0" w:type="dxa"/>
              <w:right w:w="45.0" w:type="dxa"/>
            </w:tcMar>
            <w:vAlign w:val="bottom"/>
          </w:tcPr>
          <w:p w:rsidR="00000000" w:rsidDel="00000000" w:rsidP="00000000" w:rsidRDefault="00000000" w:rsidRPr="00000000" w14:paraId="0000007C">
            <w:pPr>
              <w:spacing w:line="360" w:lineRule="auto"/>
              <w:jc w:val="center"/>
              <w:rPr>
                <w:color w:val="000000"/>
              </w:rPr>
            </w:pPr>
            <w:r w:rsidDel="00000000" w:rsidR="00000000" w:rsidRPr="00000000">
              <w:rPr>
                <w:color w:val="000000"/>
                <w:rtl w:val="0"/>
              </w:rPr>
              <w:t xml:space="preserve">17.3 Gb/sec</w:t>
            </w:r>
          </w:p>
        </w:tc>
        <w:tc>
          <w:tcPr>
            <w:tcMar>
              <w:top w:w="30.0" w:type="dxa"/>
              <w:left w:w="45.0" w:type="dxa"/>
              <w:bottom w:w="30.0" w:type="dxa"/>
              <w:right w:w="45.0" w:type="dxa"/>
            </w:tcMar>
            <w:vAlign w:val="bottom"/>
          </w:tcPr>
          <w:p w:rsidR="00000000" w:rsidDel="00000000" w:rsidP="00000000" w:rsidRDefault="00000000" w:rsidRPr="00000000" w14:paraId="0000007D">
            <w:pPr>
              <w:spacing w:line="360" w:lineRule="auto"/>
              <w:jc w:val="center"/>
              <w:rPr>
                <w:color w:val="000000"/>
              </w:rPr>
            </w:pPr>
            <w:r w:rsidDel="00000000" w:rsidR="00000000" w:rsidRPr="00000000">
              <w:rPr>
                <w:color w:val="000000"/>
                <w:rtl w:val="0"/>
              </w:rPr>
              <w:t xml:space="preserve">9.05 Mb/sec</w:t>
            </w:r>
          </w:p>
        </w:tc>
        <w:tc>
          <w:tcPr>
            <w:tcMar>
              <w:top w:w="30.0" w:type="dxa"/>
              <w:left w:w="45.0" w:type="dxa"/>
              <w:bottom w:w="30.0" w:type="dxa"/>
              <w:right w:w="45.0" w:type="dxa"/>
            </w:tcMar>
            <w:vAlign w:val="bottom"/>
          </w:tcPr>
          <w:p w:rsidR="00000000" w:rsidDel="00000000" w:rsidP="00000000" w:rsidRDefault="00000000" w:rsidRPr="00000000" w14:paraId="0000007E">
            <w:pPr>
              <w:spacing w:line="360" w:lineRule="auto"/>
              <w:jc w:val="center"/>
              <w:rPr>
                <w:color w:val="000000"/>
              </w:rPr>
            </w:pPr>
            <w:r w:rsidDel="00000000" w:rsidR="00000000" w:rsidRPr="00000000">
              <w:rPr>
                <w:color w:val="000000"/>
                <w:rtl w:val="0"/>
              </w:rPr>
              <w:t xml:space="preserve">~99.95%</w:t>
            </w:r>
          </w:p>
        </w:tc>
      </w:tr>
      <w:tr>
        <w:trPr>
          <w:cantSplit w:val="0"/>
          <w:trHeight w:val="315" w:hRule="atLeast"/>
          <w:tblHeader w:val="0"/>
        </w:trPr>
        <w:tc>
          <w:tcPr>
            <w:tcMar>
              <w:top w:w="30.0" w:type="dxa"/>
              <w:left w:w="45.0" w:type="dxa"/>
              <w:bottom w:w="30.0" w:type="dxa"/>
              <w:right w:w="45.0" w:type="dxa"/>
            </w:tcMar>
            <w:vAlign w:val="bottom"/>
          </w:tcPr>
          <w:p w:rsidR="00000000" w:rsidDel="00000000" w:rsidP="00000000" w:rsidRDefault="00000000" w:rsidRPr="00000000" w14:paraId="0000007F">
            <w:pPr>
              <w:spacing w:line="360" w:lineRule="auto"/>
              <w:jc w:val="center"/>
              <w:rPr>
                <w:color w:val="000000"/>
              </w:rPr>
            </w:pPr>
            <w:r w:rsidDel="00000000" w:rsidR="00000000" w:rsidRPr="00000000">
              <w:rPr>
                <w:color w:val="000000"/>
                <w:rtl w:val="0"/>
              </w:rPr>
              <w:t xml:space="preserve">2</w:t>
            </w:r>
          </w:p>
        </w:tc>
        <w:tc>
          <w:tcPr>
            <w:tcMar>
              <w:top w:w="30.0" w:type="dxa"/>
              <w:left w:w="45.0" w:type="dxa"/>
              <w:bottom w:w="30.0" w:type="dxa"/>
              <w:right w:w="45.0" w:type="dxa"/>
            </w:tcMar>
            <w:vAlign w:val="bottom"/>
          </w:tcPr>
          <w:p w:rsidR="00000000" w:rsidDel="00000000" w:rsidP="00000000" w:rsidRDefault="00000000" w:rsidRPr="00000000" w14:paraId="00000080">
            <w:pPr>
              <w:spacing w:line="360" w:lineRule="auto"/>
              <w:jc w:val="center"/>
              <w:rPr>
                <w:color w:val="000000"/>
              </w:rPr>
            </w:pPr>
            <w:r w:rsidDel="00000000" w:rsidR="00000000" w:rsidRPr="00000000">
              <w:rPr>
                <w:color w:val="000000"/>
                <w:rtl w:val="0"/>
              </w:rPr>
              <w:t xml:space="preserve">18.1 Gb/sec</w:t>
            </w:r>
          </w:p>
        </w:tc>
        <w:tc>
          <w:tcPr>
            <w:tcMar>
              <w:top w:w="30.0" w:type="dxa"/>
              <w:left w:w="45.0" w:type="dxa"/>
              <w:bottom w:w="30.0" w:type="dxa"/>
              <w:right w:w="45.0" w:type="dxa"/>
            </w:tcMar>
            <w:vAlign w:val="bottom"/>
          </w:tcPr>
          <w:p w:rsidR="00000000" w:rsidDel="00000000" w:rsidP="00000000" w:rsidRDefault="00000000" w:rsidRPr="00000000" w14:paraId="00000081">
            <w:pPr>
              <w:spacing w:line="360" w:lineRule="auto"/>
              <w:jc w:val="center"/>
              <w:rPr>
                <w:color w:val="000000"/>
              </w:rPr>
            </w:pPr>
            <w:r w:rsidDel="00000000" w:rsidR="00000000" w:rsidRPr="00000000">
              <w:rPr>
                <w:color w:val="000000"/>
                <w:rtl w:val="0"/>
              </w:rPr>
              <w:t xml:space="preserve">8.52 Mb/sec</w:t>
            </w:r>
          </w:p>
        </w:tc>
        <w:tc>
          <w:tcPr>
            <w:tcMar>
              <w:top w:w="30.0" w:type="dxa"/>
              <w:left w:w="45.0" w:type="dxa"/>
              <w:bottom w:w="30.0" w:type="dxa"/>
              <w:right w:w="45.0" w:type="dxa"/>
            </w:tcMar>
            <w:vAlign w:val="bottom"/>
          </w:tcPr>
          <w:p w:rsidR="00000000" w:rsidDel="00000000" w:rsidP="00000000" w:rsidRDefault="00000000" w:rsidRPr="00000000" w14:paraId="00000082">
            <w:pPr>
              <w:spacing w:line="360" w:lineRule="auto"/>
              <w:jc w:val="center"/>
              <w:rPr>
                <w:color w:val="000000"/>
              </w:rPr>
            </w:pPr>
            <w:r w:rsidDel="00000000" w:rsidR="00000000" w:rsidRPr="00000000">
              <w:rPr>
                <w:color w:val="000000"/>
                <w:rtl w:val="0"/>
              </w:rPr>
              <w:t xml:space="preserve">~99.95%</w:t>
            </w:r>
          </w:p>
        </w:tc>
      </w:tr>
      <w:tr>
        <w:trPr>
          <w:cantSplit w:val="0"/>
          <w:trHeight w:val="315" w:hRule="atLeast"/>
          <w:tblHeader w:val="0"/>
        </w:trPr>
        <w:tc>
          <w:tcPr>
            <w:tcMar>
              <w:top w:w="30.0" w:type="dxa"/>
              <w:left w:w="45.0" w:type="dxa"/>
              <w:bottom w:w="30.0" w:type="dxa"/>
              <w:right w:w="45.0" w:type="dxa"/>
            </w:tcMar>
            <w:vAlign w:val="bottom"/>
          </w:tcPr>
          <w:p w:rsidR="00000000" w:rsidDel="00000000" w:rsidP="00000000" w:rsidRDefault="00000000" w:rsidRPr="00000000" w14:paraId="00000083">
            <w:pPr>
              <w:spacing w:line="360" w:lineRule="auto"/>
              <w:jc w:val="center"/>
              <w:rPr>
                <w:color w:val="000000"/>
              </w:rPr>
            </w:pPr>
            <w:r w:rsidDel="00000000" w:rsidR="00000000" w:rsidRPr="00000000">
              <w:rPr>
                <w:color w:val="000000"/>
                <w:rtl w:val="0"/>
              </w:rPr>
              <w:t xml:space="preserve">3</w:t>
            </w:r>
          </w:p>
        </w:tc>
        <w:tc>
          <w:tcPr>
            <w:tcMar>
              <w:top w:w="30.0" w:type="dxa"/>
              <w:left w:w="45.0" w:type="dxa"/>
              <w:bottom w:w="30.0" w:type="dxa"/>
              <w:right w:w="45.0" w:type="dxa"/>
            </w:tcMar>
            <w:vAlign w:val="bottom"/>
          </w:tcPr>
          <w:p w:rsidR="00000000" w:rsidDel="00000000" w:rsidP="00000000" w:rsidRDefault="00000000" w:rsidRPr="00000000" w14:paraId="00000084">
            <w:pPr>
              <w:spacing w:line="360" w:lineRule="auto"/>
              <w:jc w:val="center"/>
              <w:rPr>
                <w:color w:val="000000"/>
              </w:rPr>
            </w:pPr>
            <w:r w:rsidDel="00000000" w:rsidR="00000000" w:rsidRPr="00000000">
              <w:rPr>
                <w:color w:val="000000"/>
                <w:rtl w:val="0"/>
              </w:rPr>
              <w:t xml:space="preserve">18 Gb/sec</w:t>
            </w:r>
          </w:p>
        </w:tc>
        <w:tc>
          <w:tcPr>
            <w:tcMar>
              <w:top w:w="30.0" w:type="dxa"/>
              <w:left w:w="45.0" w:type="dxa"/>
              <w:bottom w:w="30.0" w:type="dxa"/>
              <w:right w:w="45.0" w:type="dxa"/>
            </w:tcMar>
            <w:vAlign w:val="bottom"/>
          </w:tcPr>
          <w:p w:rsidR="00000000" w:rsidDel="00000000" w:rsidP="00000000" w:rsidRDefault="00000000" w:rsidRPr="00000000" w14:paraId="00000085">
            <w:pPr>
              <w:spacing w:line="360" w:lineRule="auto"/>
              <w:jc w:val="center"/>
              <w:rPr>
                <w:color w:val="000000"/>
              </w:rPr>
            </w:pPr>
            <w:r w:rsidDel="00000000" w:rsidR="00000000" w:rsidRPr="00000000">
              <w:rPr>
                <w:color w:val="000000"/>
                <w:rtl w:val="0"/>
              </w:rPr>
              <w:t xml:space="preserve">8.89 Mb/sec</w:t>
            </w:r>
          </w:p>
        </w:tc>
        <w:tc>
          <w:tcPr>
            <w:tcMar>
              <w:top w:w="30.0" w:type="dxa"/>
              <w:left w:w="45.0" w:type="dxa"/>
              <w:bottom w:w="30.0" w:type="dxa"/>
              <w:right w:w="45.0" w:type="dxa"/>
            </w:tcMar>
            <w:vAlign w:val="bottom"/>
          </w:tcPr>
          <w:p w:rsidR="00000000" w:rsidDel="00000000" w:rsidP="00000000" w:rsidRDefault="00000000" w:rsidRPr="00000000" w14:paraId="00000086">
            <w:pPr>
              <w:spacing w:line="360" w:lineRule="auto"/>
              <w:jc w:val="center"/>
              <w:rPr>
                <w:color w:val="000000"/>
              </w:rPr>
            </w:pPr>
            <w:r w:rsidDel="00000000" w:rsidR="00000000" w:rsidRPr="00000000">
              <w:rPr>
                <w:color w:val="000000"/>
                <w:rtl w:val="0"/>
              </w:rPr>
              <w:t xml:space="preserve">~99.95%</w:t>
            </w:r>
          </w:p>
        </w:tc>
      </w:tr>
    </w:tbl>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observed stability indicates that SDN can optimize switch resources and maintain consistent performance. This is in line with Shin et al. [19], who demonstrated enhanced switch performance under SDN flow control.</w:t>
      </w:r>
    </w:p>
    <w:p w:rsidR="00000000" w:rsidDel="00000000" w:rsidP="00000000" w:rsidRDefault="00000000" w:rsidRPr="00000000" w14:paraId="00000088">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3.5 Summary of Results</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experiments conducted in this study produced consistent evidence that integrating SDN-enabled QoS into Proxmox VE significantly improves network performance compared to unmanaged configurations. Table 5 provides a consolidated overview of the results across all measured parameters</w:t>
      </w:r>
    </w:p>
    <w:p w:rsidR="00000000" w:rsidDel="00000000" w:rsidP="00000000" w:rsidRDefault="00000000" w:rsidRPr="00000000" w14:paraId="0000008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Throughput: Although the raw throughput appeared lower under QoS enforcement due to configured rate limits, stability increased by ~28%, eliminating fluctuations of ±150 Mbps observed in the baseline scenario.</w:t>
      </w:r>
    </w:p>
    <w:p w:rsidR="00000000" w:rsidDel="00000000" w:rsidP="00000000" w:rsidRDefault="00000000" w:rsidRPr="00000000" w14:paraId="0000008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Packet Loss: The unmanaged OVS experienced average packet loss between 3–5%, whereas SDN-enabled QoS consistently maintained loss rates below 1%, representing an improvement of more than 70%.</w:t>
      </w:r>
    </w:p>
    <w:p w:rsidR="00000000" w:rsidDel="00000000" w:rsidP="00000000" w:rsidRDefault="00000000" w:rsidRPr="00000000" w14:paraId="0000008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Rate Limiting Accuracy: With ODL-managed QoS, the measured throughput closely matched configured queue limits (e.g., 695.6 Mbps for a 700 Mbps limit), achieving accuracy above 95%.</w:t>
      </w:r>
    </w:p>
    <w:p w:rsidR="00000000" w:rsidDel="00000000" w:rsidP="00000000" w:rsidRDefault="00000000" w:rsidRPr="00000000" w14:paraId="0000008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Forwarding Rate: Baseline forwarding fluctuated between 60–75 kpps, while QoS-enabled scenarios stabilized around 80 kpps, reflecting more efficient and predictable packet scheduling. </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This summary confirms that the benefit of SDN integration is not raw bandwidth maximization, but performance predictability and QoS enforcement. In unmanaged conditions, bandwidth is higher but unstable, whereas in SDN-enabled environments, traffic is shaped precisely according to policies, reducing loss and ensuring fairness among tenants.</w:t>
      </w:r>
    </w:p>
    <w:p w:rsidR="00000000" w:rsidDel="00000000" w:rsidP="00000000" w:rsidRDefault="00000000" w:rsidRPr="00000000" w14:paraId="0000008F">
      <w:pPr>
        <w:jc w:val="both"/>
        <w:rPr/>
      </w:pPr>
      <w:r w:rsidDel="00000000" w:rsidR="00000000" w:rsidRPr="00000000">
        <w:rPr>
          <w:rtl w:val="0"/>
        </w:rPr>
      </w:r>
    </w:p>
    <w:p w:rsidR="00000000" w:rsidDel="00000000" w:rsidP="00000000" w:rsidRDefault="00000000" w:rsidRPr="00000000" w14:paraId="00000090">
      <w:pPr>
        <w:numPr>
          <w:ilvl w:val="0"/>
          <w:numId w:val="1"/>
        </w:numPr>
        <w:tabs>
          <w:tab w:val="left" w:leader="none" w:pos="426"/>
        </w:tabs>
        <w:ind w:left="426" w:hanging="426"/>
        <w:jc w:val="both"/>
        <w:rPr/>
      </w:pPr>
      <w:r w:rsidDel="00000000" w:rsidR="00000000" w:rsidRPr="00000000">
        <w:rPr>
          <w:b w:val="1"/>
          <w:rtl w:val="0"/>
        </w:rPr>
        <w:t xml:space="preserve">DISCUSSION </w:t>
      </w:r>
    </w:p>
    <w:p w:rsidR="00000000" w:rsidDel="00000000" w:rsidP="00000000" w:rsidRDefault="00000000" w:rsidRPr="00000000" w14:paraId="00000091">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4.1 Interpretation of Results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experimental findings provide clear evidence of the effectiveness of SDN-enabled QoS in Proxmox VE. In baseline tests without QoS, throughput experienced fluctuations of up to ±150 Mbps around the average, which directly impacts the predictability of network performance. With QoS enabled, throughput stability improved by nearly 28%, maintaining a deviation margin of less than 1% from configured queue limits (e.g., 498.2 Mbps for a 500 Mbps configuration). Packet loss also demonstrated significant improvement. In unmanaged conditions, loss rates of 3–5% were consistently recorded under high traffic loads, while with QoS enabled, packet loss dropped below 1%, representing a reduction of over 70%. This is highly relevant for real-time applications such as VoIP and video conferencing, where even small packet loss values can lead to service degradation. Forwarding rate results further confirm the benefits of SDN integration. Without QoS, OVS forwarding rates fluctuated between 60–75 kpps. Once QoS was enabled, forwarding stabilized at ~80 kpps, showing that bandwidth enforcement contributes to more predictable switch behavior under stress. Overall, these findings validate theoretical expectations that centralized flow control reduces congestion, balances resource allocation, and enhances traffic predictability [20].</w:t>
      </w:r>
    </w:p>
    <w:p w:rsidR="00000000" w:rsidDel="00000000" w:rsidP="00000000" w:rsidRDefault="00000000" w:rsidRPr="00000000" w14:paraId="00000093">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4.2 Comparison with Related Work</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outcomes align with several studies investigating SDN and QoS integration in other environments. For example, Sezer et al. [21] demonstrated that SDN enables deterministic QoS management in data centers, though their work focused on OpenStack. Similarly, Hu et al. [22] implemented bandwidth-aware scheduling in SDN and achieved reductions in packet loss similar to those reported in this study. Compared to VMware NSX, which provides proprietary QoS management [23], Proxmox with ODL integration represents a cost-effective and open-source alternative. Prior studies by Lara et al. [24] and Nunes et al. [25] have highlighted SDN’s programmability advantages, but neither explored Proxmox VE. This makes the current work one of the first to present an empirical evaluation of SDN-based QoS in Proxmox, a platform popular in academic and SME deployments. Furthermore, Kim and Feamster [26] emphasized the importance of automation in network management to reduce configuration errors, a result echoed in this study where QoS enforcement was handled entirely by the controller rather than manual configurations. Compared to unmanaged virtualization platforms, the SDN-enabled Proxmox consistently delivered more predictable bandwidth allocation, showing clear improvements over static Linux bridging.</w:t>
      </w:r>
    </w:p>
    <w:p w:rsidR="00000000" w:rsidDel="00000000" w:rsidP="00000000" w:rsidRDefault="00000000" w:rsidRPr="00000000" w14:paraId="00000095">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4.3 Implications for Cloud and Edge Data Centers</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The practical implications of this study extend beyond the lab environment. In cloud data centers, SDN integration allows administrators to guarantee SLAs, enforce differentiated services, and mitigate congestion for multi-tenant workloads. This ensures fair bandwidth allocation, particularly critical in shared environments where traffic surges from one tenant could otherwise degrade the performance of others. In edge computing and IoT deployments, where lightweight virtualization solutions like Proxmox are commonly adopted due to their simplicity and low overhead, SDN integration provides the programmability required to handle diverse and latency-sensitive traffic. This approach can support applications such as smart grids, autonomous vehicles, and telemedicine, where QoS assurance is non-negotiable. In educational and research laboratories, Proxmox VE combined with ODL and OVS can serve as a cost-effective platform for teaching networking principles, experimenting with traffic engineering, and training future network engineers. Thus, the findings of this work are highly transferable to both academic and industrial contexts.</w:t>
      </w:r>
    </w:p>
    <w:p w:rsidR="00000000" w:rsidDel="00000000" w:rsidP="00000000" w:rsidRDefault="00000000" w:rsidRPr="00000000" w14:paraId="00000097">
      <w:pPr>
        <w:pStyle w:val="Heading2"/>
        <w:jc w:val="both"/>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4.4 Novelty of the Study</w:t>
      </w:r>
    </w:p>
    <w:p w:rsidR="00000000" w:rsidDel="00000000" w:rsidP="00000000" w:rsidRDefault="00000000" w:rsidRPr="00000000" w14:paraId="00000098">
      <w:pPr>
        <w:jc w:val="both"/>
        <w:rPr/>
      </w:pPr>
      <w:r w:rsidDel="00000000" w:rsidR="00000000" w:rsidRPr="00000000">
        <w:rPr>
          <w:rtl w:val="0"/>
        </w:rPr>
        <w:t xml:space="preserve">The novelty of this research lies in bridging the gap between Proxmox VE and SDN research. While extensive literature is available for SDN-enabled platforms such as OpenStack [21], VMware NSX [23], and Cisco ACI [20], Proxmox has rarely been addressed in the context of QoS-aware SDN integration. This study contributes by:</w:t>
      </w:r>
    </w:p>
    <w:p w:rsidR="00000000" w:rsidDel="00000000" w:rsidP="00000000" w:rsidRDefault="00000000" w:rsidRPr="00000000" w14:paraId="0000009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Proposing a framework where Proxmox VE integrates seamlessly with ODL and OVS.</w:t>
      </w:r>
      <w:r w:rsidDel="00000000" w:rsidR="00000000" w:rsidRPr="00000000">
        <w:rPr>
          <w:rtl w:val="0"/>
        </w:rPr>
      </w:r>
    </w:p>
    <w:p w:rsidR="00000000" w:rsidDel="00000000" w:rsidP="00000000" w:rsidRDefault="00000000" w:rsidRPr="00000000" w14:paraId="0000009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Conducting a quantitative evaluation using standardized benchmarking (iperf3).</w:t>
      </w: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Times New Roman" w:cs="Times New Roman" w:eastAsia="Times New Roman" w:hAnsi="Times New Roman"/>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Providing comparative insights between unmanaged and QoS-enabled scenarios.</w:t>
      </w:r>
      <w:r w:rsidDel="00000000" w:rsidR="00000000" w:rsidRPr="00000000">
        <w:rPr>
          <w:rtl w:val="0"/>
        </w:rPr>
      </w:r>
    </w:p>
    <w:p w:rsidR="00000000" w:rsidDel="00000000" w:rsidP="00000000" w:rsidRDefault="00000000" w:rsidRPr="00000000" w14:paraId="0000009C">
      <w:pPr>
        <w:jc w:val="both"/>
        <w:rPr>
          <w:b w:val="1"/>
          <w:i w:val="1"/>
        </w:rPr>
      </w:pPr>
      <w:r w:rsidDel="00000000" w:rsidR="00000000" w:rsidRPr="00000000">
        <w:rPr>
          <w:rtl w:val="0"/>
        </w:rPr>
        <w:t xml:space="preserve">By doing so, this research not only validates the feasibility of SDN integration into Proxmox but also demonstrates measurable improvements, making it a reference point for future academic and industrial deployments.</w:t>
      </w:r>
      <w:r w:rsidDel="00000000" w:rsidR="00000000" w:rsidRPr="00000000">
        <w:rPr>
          <w:rtl w:val="0"/>
        </w:rPr>
      </w:r>
    </w:p>
    <w:p w:rsidR="00000000" w:rsidDel="00000000" w:rsidP="00000000" w:rsidRDefault="00000000" w:rsidRPr="00000000" w14:paraId="0000009D">
      <w:pPr>
        <w:pStyle w:val="Heading2"/>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4.5 Limitations and Future Work</w:t>
      </w:r>
    </w:p>
    <w:p w:rsidR="00000000" w:rsidDel="00000000" w:rsidP="00000000" w:rsidRDefault="00000000" w:rsidRPr="00000000" w14:paraId="0000009E">
      <w:pPr>
        <w:jc w:val="both"/>
        <w:rPr/>
      </w:pPr>
      <w:r w:rsidDel="00000000" w:rsidR="00000000" w:rsidRPr="00000000">
        <w:rPr>
          <w:rtl w:val="0"/>
        </w:rPr>
        <w:t xml:space="preserve">This study, while successful, is subject to several limitations. First, the evaluation was conducted on a single-node Proxmox deployment. Multi-node clusters with distributed ODL controllers and more complex topologies could provide deeper insights into scalability and resilience. Second, the analysis focused on throughput, packet loss, rate limiting accuracy, and forwarding rate. Other performance parameters such as latency, jitter, fairness index, and application-level QoE metrics (e.g., Mean Opinion Score for VoIP) were not measured. These should be addressed in future work. Third, while the integration of SDN with Proxmox proved effective, the evaluation did not include security aspects such as flow rule enforcement against malicious traffic or DDoS scenarios. Considering the increasing relevance of security in SDN-based environments, this forms a critical avenue for future research. Finally, with the growing adoption of AI-driven networking and SD-WAN, future studies could explore how Proxmox-based SDN environments can incorporate machine learning algorithms for predictive bandwidth management and anomaly detection.</w:t>
      </w:r>
    </w:p>
    <w:p w:rsidR="00000000" w:rsidDel="00000000" w:rsidP="00000000" w:rsidRDefault="00000000" w:rsidRPr="00000000" w14:paraId="0000009F">
      <w:pPr>
        <w:jc w:val="both"/>
        <w:rPr>
          <w:b w:val="1"/>
        </w:rPr>
      </w:pPr>
      <w:r w:rsidDel="00000000" w:rsidR="00000000" w:rsidRPr="00000000">
        <w:rPr>
          <w:b w:val="1"/>
          <w:rtl w:val="0"/>
        </w:rPr>
        <w:t xml:space="preserve">CONFLICT OF INTEREST STATEMENT </w:t>
      </w:r>
    </w:p>
    <w:p w:rsidR="00000000" w:rsidDel="00000000" w:rsidP="00000000" w:rsidRDefault="00000000" w:rsidRPr="00000000" w14:paraId="000000A0">
      <w:pPr>
        <w:tabs>
          <w:tab w:val="left" w:leader="none" w:pos="284"/>
          <w:tab w:val="left" w:leader="none" w:pos="426"/>
        </w:tabs>
        <w:jc w:val="both"/>
        <w:rPr/>
      </w:pPr>
      <w:r w:rsidDel="00000000" w:rsidR="00000000" w:rsidRPr="00000000">
        <w:rPr>
          <w:rtl w:val="0"/>
        </w:rPr>
        <w:t xml:space="preserve">The authors declare that they have no known competing financial interests or personal relationships that could have appeared to influence the work reported in this paper.</w:t>
      </w:r>
    </w:p>
    <w:p w:rsidR="00000000" w:rsidDel="00000000" w:rsidP="00000000" w:rsidRDefault="00000000" w:rsidRPr="00000000" w14:paraId="000000A1">
      <w:pPr>
        <w:tabs>
          <w:tab w:val="left" w:leader="none" w:pos="284"/>
          <w:tab w:val="left" w:leader="none" w:pos="426"/>
        </w:tabs>
        <w:jc w:val="both"/>
        <w:rPr/>
      </w:pPr>
      <w:r w:rsidDel="00000000" w:rsidR="00000000" w:rsidRPr="00000000">
        <w:rPr>
          <w:rtl w:val="0"/>
        </w:rPr>
      </w:r>
    </w:p>
    <w:p w:rsidR="00000000" w:rsidDel="00000000" w:rsidP="00000000" w:rsidRDefault="00000000" w:rsidRPr="00000000" w14:paraId="000000A2">
      <w:pPr>
        <w:jc w:val="both"/>
        <w:rPr>
          <w:b w:val="1"/>
        </w:rPr>
      </w:pPr>
      <w:r w:rsidDel="00000000" w:rsidR="00000000" w:rsidRPr="00000000">
        <w:rPr>
          <w:b w:val="1"/>
          <w:rtl w:val="0"/>
        </w:rPr>
        <w:t xml:space="preserve">INFORMED CONSENT </w:t>
      </w:r>
    </w:p>
    <w:p w:rsidR="00000000" w:rsidDel="00000000" w:rsidP="00000000" w:rsidRDefault="00000000" w:rsidRPr="00000000" w14:paraId="000000A3">
      <w:pPr>
        <w:tabs>
          <w:tab w:val="left" w:leader="none" w:pos="284"/>
          <w:tab w:val="left" w:leader="none" w:pos="426"/>
        </w:tabs>
        <w:jc w:val="both"/>
        <w:rPr/>
      </w:pPr>
      <w:r w:rsidDel="00000000" w:rsidR="00000000" w:rsidRPr="00000000">
        <w:rPr>
          <w:rtl w:val="0"/>
        </w:rPr>
        <w:t xml:space="preserve">Not applicable. This study did not involve human participants or the use of personal data requiring consent.</w:t>
      </w:r>
    </w:p>
    <w:p w:rsidR="00000000" w:rsidDel="00000000" w:rsidP="00000000" w:rsidRDefault="00000000" w:rsidRPr="00000000" w14:paraId="000000A4">
      <w:pPr>
        <w:jc w:val="both"/>
        <w:rPr>
          <w:b w:val="1"/>
        </w:rPr>
      </w:pPr>
      <w:r w:rsidDel="00000000" w:rsidR="00000000" w:rsidRPr="00000000">
        <w:rPr>
          <w:rtl w:val="0"/>
        </w:rPr>
      </w:r>
    </w:p>
    <w:p w:rsidR="00000000" w:rsidDel="00000000" w:rsidP="00000000" w:rsidRDefault="00000000" w:rsidRPr="00000000" w14:paraId="000000A5">
      <w:pPr>
        <w:jc w:val="both"/>
        <w:rPr>
          <w:b w:val="1"/>
        </w:rPr>
      </w:pPr>
      <w:r w:rsidDel="00000000" w:rsidR="00000000" w:rsidRPr="00000000">
        <w:rPr>
          <w:b w:val="1"/>
          <w:rtl w:val="0"/>
        </w:rPr>
        <w:t xml:space="preserve">ETHICAL APPROVAL </w:t>
      </w:r>
    </w:p>
    <w:p w:rsidR="00000000" w:rsidDel="00000000" w:rsidP="00000000" w:rsidRDefault="00000000" w:rsidRPr="00000000" w14:paraId="000000A6">
      <w:pPr>
        <w:jc w:val="both"/>
        <w:rPr>
          <w:b w:val="1"/>
        </w:rPr>
      </w:pPr>
      <w:r w:rsidDel="00000000" w:rsidR="00000000" w:rsidRPr="00000000">
        <w:rPr>
          <w:rtl w:val="0"/>
        </w:rPr>
        <w:t xml:space="preserve">Not applicable. This research did not involve human or animal subjects, therefore ethical approval was not required.</w:t>
      </w:r>
      <w:r w:rsidDel="00000000" w:rsidR="00000000" w:rsidRPr="00000000">
        <w:rPr>
          <w:rtl w:val="0"/>
        </w:rPr>
      </w:r>
    </w:p>
    <w:p w:rsidR="00000000" w:rsidDel="00000000" w:rsidP="00000000" w:rsidRDefault="00000000" w:rsidRPr="00000000" w14:paraId="000000A7">
      <w:pPr>
        <w:jc w:val="both"/>
        <w:rPr>
          <w:b w:val="1"/>
        </w:rPr>
      </w:pPr>
      <w:r w:rsidDel="00000000" w:rsidR="00000000" w:rsidRPr="00000000">
        <w:rPr>
          <w:rtl w:val="0"/>
        </w:rPr>
      </w:r>
    </w:p>
    <w:p w:rsidR="00000000" w:rsidDel="00000000" w:rsidP="00000000" w:rsidRDefault="00000000" w:rsidRPr="00000000" w14:paraId="000000A8">
      <w:pPr>
        <w:jc w:val="both"/>
        <w:rPr>
          <w:b w:val="1"/>
        </w:rPr>
      </w:pPr>
      <w:r w:rsidDel="00000000" w:rsidR="00000000" w:rsidRPr="00000000">
        <w:rPr>
          <w:b w:val="1"/>
          <w:rtl w:val="0"/>
        </w:rPr>
        <w:t xml:space="preserve">DATA AVAILABILITY</w:t>
      </w:r>
    </w:p>
    <w:p w:rsidR="00000000" w:rsidDel="00000000" w:rsidP="00000000" w:rsidRDefault="00000000" w:rsidRPr="00000000" w14:paraId="000000A9">
      <w:pPr>
        <w:jc w:val="both"/>
        <w:rPr/>
      </w:pPr>
      <w:r w:rsidDel="00000000" w:rsidR="00000000" w:rsidRPr="00000000">
        <w:rPr>
          <w:rtl w:val="0"/>
        </w:rPr>
        <w:t xml:space="preserve">The data supporting the findings of this study are available from the corresponding author upon reasonable request.</w:t>
      </w:r>
    </w:p>
    <w:p w:rsidR="00000000" w:rsidDel="00000000" w:rsidP="00000000" w:rsidRDefault="00000000" w:rsidRPr="00000000" w14:paraId="000000AA">
      <w:pPr>
        <w:rPr>
          <w:b w:val="1"/>
        </w:rPr>
      </w:pPr>
      <w:r w:rsidDel="00000000" w:rsidR="00000000" w:rsidRPr="00000000">
        <w:rPr>
          <w:rtl w:val="0"/>
        </w:rPr>
      </w:r>
    </w:p>
    <w:p w:rsidR="00000000" w:rsidDel="00000000" w:rsidP="00000000" w:rsidRDefault="00000000" w:rsidRPr="00000000" w14:paraId="000000AB">
      <w:pPr>
        <w:jc w:val="both"/>
        <w:rPr>
          <w:i w:val="1"/>
          <w:sz w:val="18"/>
          <w:szCs w:val="18"/>
        </w:rPr>
      </w:pPr>
      <w:bookmarkStart w:colFirst="0" w:colLast="0" w:name="_8oi6yvv0asra" w:id="1"/>
      <w:bookmarkEnd w:id="1"/>
      <w:r w:rsidDel="00000000" w:rsidR="00000000" w:rsidRPr="00000000">
        <w:rPr>
          <w:b w:val="1"/>
          <w:rtl w:val="0"/>
        </w:rPr>
        <w:t xml:space="preserve">REFERENCES</w:t>
      </w:r>
      <w:r w:rsidDel="00000000" w:rsidR="00000000" w:rsidRPr="00000000">
        <w:rPr>
          <w:rtl w:val="0"/>
        </w:rPr>
      </w:r>
    </w:p>
    <w:p w:rsidR="00000000" w:rsidDel="00000000" w:rsidP="00000000" w:rsidRDefault="00000000" w:rsidRPr="00000000" w14:paraId="000000AC">
      <w:pPr>
        <w:widowControl w:val="0"/>
        <w:ind w:left="426" w:hanging="426"/>
        <w:jc w:val="both"/>
        <w:rPr/>
      </w:pPr>
      <w:r w:rsidDel="00000000" w:rsidR="00000000" w:rsidRPr="00000000">
        <w:rPr>
          <w:rtl w:val="0"/>
        </w:rPr>
        <w:t xml:space="preserve">[1] N. McKeown, T. Anderson, H. Balakrishnan, G. Parulkar, L. Peterson, J. Rexford, S. Shenker, and J. Turner, “OpenFlow: enabling innovation in campus networks,” ACM SIGCOMM Comput. Commun. Rev., vol. 38, no. 2, pp. 69–74, 2008.</w:t>
      </w:r>
    </w:p>
    <w:p w:rsidR="00000000" w:rsidDel="00000000" w:rsidP="00000000" w:rsidRDefault="00000000" w:rsidRPr="00000000" w14:paraId="000000AD">
      <w:pPr>
        <w:widowControl w:val="0"/>
        <w:ind w:left="426" w:hanging="426"/>
        <w:jc w:val="both"/>
        <w:rPr/>
      </w:pPr>
      <w:r w:rsidDel="00000000" w:rsidR="00000000" w:rsidRPr="00000000">
        <w:rPr>
          <w:rtl w:val="0"/>
        </w:rPr>
      </w:r>
    </w:p>
    <w:p w:rsidR="00000000" w:rsidDel="00000000" w:rsidP="00000000" w:rsidRDefault="00000000" w:rsidRPr="00000000" w14:paraId="000000AE">
      <w:pPr>
        <w:widowControl w:val="0"/>
        <w:ind w:left="426" w:hanging="426"/>
        <w:jc w:val="both"/>
        <w:rPr/>
      </w:pPr>
      <w:r w:rsidDel="00000000" w:rsidR="00000000" w:rsidRPr="00000000">
        <w:rPr>
          <w:rtl w:val="0"/>
        </w:rPr>
        <w:t xml:space="preserve">[2] A. Lara, A. Kolasani, and B. Ramamurthy, “Network innovation using OpenFlow: A survey,” IEEE Commun. Surv. Tutor., vol. 16, no. 1, pp. 493–512, 2014.</w:t>
      </w:r>
    </w:p>
    <w:p w:rsidR="00000000" w:rsidDel="00000000" w:rsidP="00000000" w:rsidRDefault="00000000" w:rsidRPr="00000000" w14:paraId="000000AF">
      <w:pPr>
        <w:widowControl w:val="0"/>
        <w:ind w:left="426" w:hanging="426"/>
        <w:jc w:val="both"/>
        <w:rPr/>
      </w:pPr>
      <w:r w:rsidDel="00000000" w:rsidR="00000000" w:rsidRPr="00000000">
        <w:rPr>
          <w:rtl w:val="0"/>
        </w:rPr>
      </w:r>
    </w:p>
    <w:p w:rsidR="00000000" w:rsidDel="00000000" w:rsidP="00000000" w:rsidRDefault="00000000" w:rsidRPr="00000000" w14:paraId="000000B0">
      <w:pPr>
        <w:widowControl w:val="0"/>
        <w:ind w:left="426" w:hanging="426"/>
        <w:jc w:val="both"/>
        <w:rPr/>
      </w:pPr>
      <w:r w:rsidDel="00000000" w:rsidR="00000000" w:rsidRPr="00000000">
        <w:rPr>
          <w:rtl w:val="0"/>
        </w:rPr>
        <w:t xml:space="preserve">[3] B. Pfaff et al., “The design and implementation of Open vSwitch,” in Proc. 12th USENIX NSDI, Oakland, CA, USA, 2015, pp. 117–130.</w:t>
      </w:r>
    </w:p>
    <w:p w:rsidR="00000000" w:rsidDel="00000000" w:rsidP="00000000" w:rsidRDefault="00000000" w:rsidRPr="00000000" w14:paraId="000000B1">
      <w:pPr>
        <w:widowControl w:val="0"/>
        <w:ind w:left="426" w:hanging="426"/>
        <w:jc w:val="both"/>
        <w:rPr/>
      </w:pPr>
      <w:r w:rsidDel="00000000" w:rsidR="00000000" w:rsidRPr="00000000">
        <w:rPr>
          <w:rtl w:val="0"/>
        </w:rPr>
      </w:r>
    </w:p>
    <w:p w:rsidR="00000000" w:rsidDel="00000000" w:rsidP="00000000" w:rsidRDefault="00000000" w:rsidRPr="00000000" w14:paraId="000000B2">
      <w:pPr>
        <w:widowControl w:val="0"/>
        <w:ind w:left="426" w:hanging="426"/>
        <w:jc w:val="both"/>
        <w:rPr/>
      </w:pPr>
      <w:r w:rsidDel="00000000" w:rsidR="00000000" w:rsidRPr="00000000">
        <w:rPr>
          <w:rtl w:val="0"/>
        </w:rPr>
        <w:t xml:space="preserve">[4] S. Sezer et al., “Are we ready for SDN? Implementation challenges for software-defined networks,” IEEE Commun. Mag., vol. 51, no. 7, pp. 36–43, 2013.</w:t>
      </w:r>
    </w:p>
    <w:p w:rsidR="00000000" w:rsidDel="00000000" w:rsidP="00000000" w:rsidRDefault="00000000" w:rsidRPr="00000000" w14:paraId="000000B3">
      <w:pPr>
        <w:widowControl w:val="0"/>
        <w:ind w:left="426" w:hanging="426"/>
        <w:jc w:val="both"/>
        <w:rPr/>
      </w:pPr>
      <w:r w:rsidDel="00000000" w:rsidR="00000000" w:rsidRPr="00000000">
        <w:rPr>
          <w:rtl w:val="0"/>
        </w:rPr>
      </w:r>
    </w:p>
    <w:p w:rsidR="00000000" w:rsidDel="00000000" w:rsidP="00000000" w:rsidRDefault="00000000" w:rsidRPr="00000000" w14:paraId="000000B4">
      <w:pPr>
        <w:widowControl w:val="0"/>
        <w:ind w:left="426" w:hanging="426"/>
        <w:jc w:val="both"/>
        <w:rPr/>
      </w:pPr>
      <w:r w:rsidDel="00000000" w:rsidR="00000000" w:rsidRPr="00000000">
        <w:rPr>
          <w:rtl w:val="0"/>
        </w:rPr>
        <w:t xml:space="preserve">[5] S. Shin and G. Gu, “Attacking software-defined networks: A first feasibility study,” in Proc. ACM HotSDN, 2013, pp. 165–166.</w:t>
      </w:r>
    </w:p>
    <w:p w:rsidR="00000000" w:rsidDel="00000000" w:rsidP="00000000" w:rsidRDefault="00000000" w:rsidRPr="00000000" w14:paraId="000000B5">
      <w:pPr>
        <w:widowControl w:val="0"/>
        <w:ind w:left="426" w:hanging="426"/>
        <w:jc w:val="both"/>
        <w:rPr/>
      </w:pPr>
      <w:r w:rsidDel="00000000" w:rsidR="00000000" w:rsidRPr="00000000">
        <w:rPr>
          <w:rtl w:val="0"/>
        </w:rPr>
      </w:r>
    </w:p>
    <w:p w:rsidR="00000000" w:rsidDel="00000000" w:rsidP="00000000" w:rsidRDefault="00000000" w:rsidRPr="00000000" w14:paraId="000000B6">
      <w:pPr>
        <w:widowControl w:val="0"/>
        <w:ind w:left="426" w:hanging="426"/>
        <w:jc w:val="both"/>
        <w:rPr/>
      </w:pPr>
      <w:r w:rsidDel="00000000" w:rsidR="00000000" w:rsidRPr="00000000">
        <w:rPr>
          <w:rtl w:val="0"/>
        </w:rPr>
        <w:t xml:space="preserve">[6] M. Jammal, T. Singh, A. Shami, R. Asal, and Y. Li, “Software defined networking: State of the art and research challenges,” Comput. Netw., vol. 72, pp. 74–98, 2014.</w:t>
      </w:r>
    </w:p>
    <w:p w:rsidR="00000000" w:rsidDel="00000000" w:rsidP="00000000" w:rsidRDefault="00000000" w:rsidRPr="00000000" w14:paraId="000000B7">
      <w:pPr>
        <w:widowControl w:val="0"/>
        <w:ind w:left="426" w:hanging="426"/>
        <w:jc w:val="both"/>
        <w:rPr/>
      </w:pPr>
      <w:r w:rsidDel="00000000" w:rsidR="00000000" w:rsidRPr="00000000">
        <w:rPr>
          <w:rtl w:val="0"/>
        </w:rPr>
      </w:r>
    </w:p>
    <w:p w:rsidR="00000000" w:rsidDel="00000000" w:rsidP="00000000" w:rsidRDefault="00000000" w:rsidRPr="00000000" w14:paraId="000000B8">
      <w:pPr>
        <w:widowControl w:val="0"/>
        <w:ind w:left="426" w:hanging="426"/>
        <w:jc w:val="both"/>
        <w:rPr/>
      </w:pPr>
      <w:r w:rsidDel="00000000" w:rsidR="00000000" w:rsidRPr="00000000">
        <w:rPr>
          <w:rtl w:val="0"/>
        </w:rPr>
        <w:t xml:space="preserve">[7] H. Kim and N. Feamster, “Improving network management with software defined networking,” IEEE Commun. Mag., vol. 51, no. 2, pp. 114–119, 2013.</w:t>
      </w:r>
    </w:p>
    <w:p w:rsidR="00000000" w:rsidDel="00000000" w:rsidP="00000000" w:rsidRDefault="00000000" w:rsidRPr="00000000" w14:paraId="000000B9">
      <w:pPr>
        <w:widowControl w:val="0"/>
        <w:ind w:left="426" w:hanging="426"/>
        <w:jc w:val="both"/>
        <w:rPr/>
      </w:pPr>
      <w:r w:rsidDel="00000000" w:rsidR="00000000" w:rsidRPr="00000000">
        <w:rPr>
          <w:rtl w:val="0"/>
        </w:rPr>
      </w:r>
    </w:p>
    <w:p w:rsidR="00000000" w:rsidDel="00000000" w:rsidP="00000000" w:rsidRDefault="00000000" w:rsidRPr="00000000" w14:paraId="000000BA">
      <w:pPr>
        <w:widowControl w:val="0"/>
        <w:ind w:left="426" w:hanging="426"/>
        <w:jc w:val="both"/>
        <w:rPr/>
      </w:pPr>
      <w:r w:rsidDel="00000000" w:rsidR="00000000" w:rsidRPr="00000000">
        <w:rPr>
          <w:rtl w:val="0"/>
        </w:rPr>
        <w:t xml:space="preserve">[8] R. Mijumbi, J. Serrat, J. Gorricho, N. Bouten, F. De Turck, and R. Boutaba, “Network function virtualization: State-of-the-art and research challenges,” IEEE Commun. Surv. Tutor., vol. 18, no. 1, pp. 236–262, 2016.</w:t>
      </w:r>
    </w:p>
    <w:p w:rsidR="00000000" w:rsidDel="00000000" w:rsidP="00000000" w:rsidRDefault="00000000" w:rsidRPr="00000000" w14:paraId="000000BB">
      <w:pPr>
        <w:widowControl w:val="0"/>
        <w:ind w:left="426" w:hanging="426"/>
        <w:jc w:val="both"/>
        <w:rPr/>
      </w:pPr>
      <w:r w:rsidDel="00000000" w:rsidR="00000000" w:rsidRPr="00000000">
        <w:rPr>
          <w:rtl w:val="0"/>
        </w:rPr>
      </w:r>
    </w:p>
    <w:p w:rsidR="00000000" w:rsidDel="00000000" w:rsidP="00000000" w:rsidRDefault="00000000" w:rsidRPr="00000000" w14:paraId="000000BC">
      <w:pPr>
        <w:widowControl w:val="0"/>
        <w:ind w:left="426" w:hanging="426"/>
        <w:jc w:val="both"/>
        <w:rPr/>
      </w:pPr>
      <w:r w:rsidDel="00000000" w:rsidR="00000000" w:rsidRPr="00000000">
        <w:rPr>
          <w:rtl w:val="0"/>
        </w:rPr>
        <w:t xml:space="preserve">[9] A. N. Tootoonchian and Y. Ganjali, “HyperFlow: A distributed control plane for OpenFlow,” in Proc. USENIX INM/WREN, 2010, pp. 1–6.</w:t>
      </w:r>
    </w:p>
    <w:p w:rsidR="00000000" w:rsidDel="00000000" w:rsidP="00000000" w:rsidRDefault="00000000" w:rsidRPr="00000000" w14:paraId="000000BD">
      <w:pPr>
        <w:widowControl w:val="0"/>
        <w:ind w:left="426" w:hanging="426"/>
        <w:jc w:val="both"/>
        <w:rPr/>
      </w:pPr>
      <w:r w:rsidDel="00000000" w:rsidR="00000000" w:rsidRPr="00000000">
        <w:rPr>
          <w:rtl w:val="0"/>
        </w:rPr>
      </w:r>
    </w:p>
    <w:p w:rsidR="00000000" w:rsidDel="00000000" w:rsidP="00000000" w:rsidRDefault="00000000" w:rsidRPr="00000000" w14:paraId="000000BE">
      <w:pPr>
        <w:widowControl w:val="0"/>
        <w:ind w:left="426" w:hanging="426"/>
        <w:jc w:val="both"/>
        <w:rPr/>
      </w:pPr>
      <w:r w:rsidDel="00000000" w:rsidR="00000000" w:rsidRPr="00000000">
        <w:rPr>
          <w:rtl w:val="0"/>
        </w:rPr>
        <w:t xml:space="preserve">[10] W. Xia, Y. Wen, C. Foh, D. Niyato, and H. Xie, “A survey on software-defined networking,” IEEE Commun. Surv. Tutor., vol. 17, no. 1, pp. 27–51, 2015.</w:t>
      </w:r>
    </w:p>
    <w:p w:rsidR="00000000" w:rsidDel="00000000" w:rsidP="00000000" w:rsidRDefault="00000000" w:rsidRPr="00000000" w14:paraId="000000BF">
      <w:pPr>
        <w:widowControl w:val="0"/>
        <w:ind w:left="426" w:hanging="426"/>
        <w:jc w:val="both"/>
        <w:rPr/>
      </w:pPr>
      <w:r w:rsidDel="00000000" w:rsidR="00000000" w:rsidRPr="00000000">
        <w:rPr>
          <w:rtl w:val="0"/>
        </w:rPr>
      </w:r>
    </w:p>
    <w:p w:rsidR="00000000" w:rsidDel="00000000" w:rsidP="00000000" w:rsidRDefault="00000000" w:rsidRPr="00000000" w14:paraId="000000C0">
      <w:pPr>
        <w:widowControl w:val="0"/>
        <w:ind w:left="426" w:hanging="426"/>
        <w:jc w:val="both"/>
        <w:rPr/>
      </w:pPr>
      <w:r w:rsidDel="00000000" w:rsidR="00000000" w:rsidRPr="00000000">
        <w:rPr>
          <w:rtl w:val="0"/>
        </w:rPr>
        <w:t xml:space="preserve">[11] ETSI, “Telecommunications and Internet Protocol Harmonization over Networks (TIPHON) general aspects of quality of service,” ETSI TR 101 329-2 V2.1.1, 1999.</w:t>
      </w:r>
    </w:p>
    <w:p w:rsidR="00000000" w:rsidDel="00000000" w:rsidP="00000000" w:rsidRDefault="00000000" w:rsidRPr="00000000" w14:paraId="000000C1">
      <w:pPr>
        <w:widowControl w:val="0"/>
        <w:ind w:left="426" w:hanging="426"/>
        <w:jc w:val="both"/>
        <w:rPr/>
      </w:pPr>
      <w:r w:rsidDel="00000000" w:rsidR="00000000" w:rsidRPr="00000000">
        <w:rPr>
          <w:rtl w:val="0"/>
        </w:rPr>
      </w:r>
    </w:p>
    <w:p w:rsidR="00000000" w:rsidDel="00000000" w:rsidP="00000000" w:rsidRDefault="00000000" w:rsidRPr="00000000" w14:paraId="000000C2">
      <w:pPr>
        <w:widowControl w:val="0"/>
        <w:ind w:left="426" w:hanging="426"/>
        <w:jc w:val="both"/>
        <w:rPr/>
      </w:pPr>
      <w:r w:rsidDel="00000000" w:rsidR="00000000" w:rsidRPr="00000000">
        <w:rPr>
          <w:rtl w:val="0"/>
        </w:rPr>
        <w:t xml:space="preserve">[12] J. Hu, C. Lin, J. Lu, and J. Wu, “QoS-aware bandwidth scheduling in software defined networks,” China Commun., vol. 12, no. 7, pp. 1–12, 2015.</w:t>
      </w:r>
    </w:p>
    <w:p w:rsidR="00000000" w:rsidDel="00000000" w:rsidP="00000000" w:rsidRDefault="00000000" w:rsidRPr="00000000" w14:paraId="000000C3">
      <w:pPr>
        <w:widowControl w:val="0"/>
        <w:ind w:left="426" w:hanging="426"/>
        <w:jc w:val="both"/>
        <w:rPr/>
      </w:pPr>
      <w:r w:rsidDel="00000000" w:rsidR="00000000" w:rsidRPr="00000000">
        <w:rPr>
          <w:rtl w:val="0"/>
        </w:rPr>
      </w:r>
    </w:p>
    <w:p w:rsidR="00000000" w:rsidDel="00000000" w:rsidP="00000000" w:rsidRDefault="00000000" w:rsidRPr="00000000" w14:paraId="000000C4">
      <w:pPr>
        <w:widowControl w:val="0"/>
        <w:ind w:left="426" w:hanging="426"/>
        <w:jc w:val="both"/>
        <w:rPr/>
      </w:pPr>
      <w:r w:rsidDel="00000000" w:rsidR="00000000" w:rsidRPr="00000000">
        <w:rPr>
          <w:rtl w:val="0"/>
        </w:rPr>
        <w:t xml:space="preserve">[13] B. Nunes, M. Mendonca, X. Nguyen, K. Obraczka, and T. Turletti, “A survey of software-defined networking: Past, present, and future of programmable networks,” IEEE Commun. Surv. Tutor., vol. 16, no. 3, pp. 1617–1634, 2014.</w:t>
      </w:r>
    </w:p>
    <w:p w:rsidR="00000000" w:rsidDel="00000000" w:rsidP="00000000" w:rsidRDefault="00000000" w:rsidRPr="00000000" w14:paraId="000000C5">
      <w:pPr>
        <w:widowControl w:val="0"/>
        <w:ind w:left="426" w:hanging="426"/>
        <w:jc w:val="both"/>
        <w:rPr/>
      </w:pPr>
      <w:r w:rsidDel="00000000" w:rsidR="00000000" w:rsidRPr="00000000">
        <w:rPr>
          <w:rtl w:val="0"/>
        </w:rPr>
      </w:r>
    </w:p>
    <w:p w:rsidR="00000000" w:rsidDel="00000000" w:rsidP="00000000" w:rsidRDefault="00000000" w:rsidRPr="00000000" w14:paraId="000000C6">
      <w:pPr>
        <w:widowControl w:val="0"/>
        <w:ind w:left="426" w:hanging="426"/>
        <w:jc w:val="both"/>
        <w:rPr/>
      </w:pPr>
      <w:r w:rsidDel="00000000" w:rsidR="00000000" w:rsidRPr="00000000">
        <w:rPr>
          <w:rtl w:val="0"/>
        </w:rPr>
        <w:t xml:space="preserve">[14] X. Li, C. Qian, and P. Hong, “Enabling network function virtualization with SDN,” in Proc. IEEE INFOCOM Workshops, 2016, pp. 495–500.</w:t>
      </w:r>
    </w:p>
    <w:p w:rsidR="00000000" w:rsidDel="00000000" w:rsidP="00000000" w:rsidRDefault="00000000" w:rsidRPr="00000000" w14:paraId="000000C7">
      <w:pPr>
        <w:widowControl w:val="0"/>
        <w:ind w:left="426" w:hanging="426"/>
        <w:jc w:val="both"/>
        <w:rPr/>
      </w:pPr>
      <w:r w:rsidDel="00000000" w:rsidR="00000000" w:rsidRPr="00000000">
        <w:rPr>
          <w:rtl w:val="0"/>
        </w:rPr>
      </w:r>
    </w:p>
    <w:p w:rsidR="00000000" w:rsidDel="00000000" w:rsidP="00000000" w:rsidRDefault="00000000" w:rsidRPr="00000000" w14:paraId="000000C8">
      <w:pPr>
        <w:widowControl w:val="0"/>
        <w:ind w:left="426" w:hanging="426"/>
        <w:jc w:val="both"/>
        <w:rPr/>
      </w:pPr>
      <w:r w:rsidDel="00000000" w:rsidR="00000000" w:rsidRPr="00000000">
        <w:rPr>
          <w:rtl w:val="0"/>
        </w:rPr>
        <w:t xml:space="preserve">[15] T. Benson, A. Akella, and D. Maltz, “Network traffic characteristics of data centers in the wild,” in Proc. ACM IMC, 2010, pp. 267–280.</w:t>
      </w:r>
    </w:p>
    <w:p w:rsidR="00000000" w:rsidDel="00000000" w:rsidP="00000000" w:rsidRDefault="00000000" w:rsidRPr="00000000" w14:paraId="000000C9">
      <w:pPr>
        <w:widowControl w:val="0"/>
        <w:ind w:left="426" w:hanging="426"/>
        <w:jc w:val="both"/>
        <w:rPr/>
      </w:pPr>
      <w:r w:rsidDel="00000000" w:rsidR="00000000" w:rsidRPr="00000000">
        <w:rPr>
          <w:rtl w:val="0"/>
        </w:rPr>
      </w:r>
    </w:p>
    <w:p w:rsidR="00000000" w:rsidDel="00000000" w:rsidP="00000000" w:rsidRDefault="00000000" w:rsidRPr="00000000" w14:paraId="000000CA">
      <w:pPr>
        <w:widowControl w:val="0"/>
        <w:ind w:left="426" w:hanging="426"/>
        <w:jc w:val="both"/>
        <w:rPr/>
      </w:pPr>
      <w:r w:rsidDel="00000000" w:rsidR="00000000" w:rsidRPr="00000000">
        <w:rPr>
          <w:rtl w:val="0"/>
        </w:rPr>
        <w:t xml:space="preserve">[16] S. Jain et al., “B4: Experience with a globally-deployed software defined WAN,” in Proc. ACM SIGCOMM, 2013, pp. 3–14.</w:t>
      </w:r>
    </w:p>
    <w:p w:rsidR="00000000" w:rsidDel="00000000" w:rsidP="00000000" w:rsidRDefault="00000000" w:rsidRPr="00000000" w14:paraId="000000CB">
      <w:pPr>
        <w:widowControl w:val="0"/>
        <w:ind w:left="426" w:hanging="426"/>
        <w:jc w:val="both"/>
        <w:rPr/>
      </w:pPr>
      <w:r w:rsidDel="00000000" w:rsidR="00000000" w:rsidRPr="00000000">
        <w:rPr>
          <w:rtl w:val="0"/>
        </w:rPr>
      </w:r>
    </w:p>
    <w:p w:rsidR="00000000" w:rsidDel="00000000" w:rsidP="00000000" w:rsidRDefault="00000000" w:rsidRPr="00000000" w14:paraId="000000CC">
      <w:pPr>
        <w:widowControl w:val="0"/>
        <w:ind w:left="426" w:hanging="426"/>
        <w:jc w:val="both"/>
        <w:rPr/>
      </w:pPr>
      <w:r w:rsidDel="00000000" w:rsidR="00000000" w:rsidRPr="00000000">
        <w:rPr>
          <w:rtl w:val="0"/>
        </w:rPr>
        <w:t xml:space="preserve">[17] M. Yu, J. Rexford, M. Freedman, and J. Wang, “Scalable flow-based networking with DIFANE,” in Proc. ACM SIGCOMM, 2010, pp. 351–362.</w:t>
      </w:r>
    </w:p>
    <w:p w:rsidR="00000000" w:rsidDel="00000000" w:rsidP="00000000" w:rsidRDefault="00000000" w:rsidRPr="00000000" w14:paraId="000000CD">
      <w:pPr>
        <w:widowControl w:val="0"/>
        <w:ind w:left="426" w:hanging="426"/>
        <w:jc w:val="both"/>
        <w:rPr/>
      </w:pPr>
      <w:r w:rsidDel="00000000" w:rsidR="00000000" w:rsidRPr="00000000">
        <w:rPr>
          <w:rtl w:val="0"/>
        </w:rPr>
      </w:r>
    </w:p>
    <w:p w:rsidR="00000000" w:rsidDel="00000000" w:rsidP="00000000" w:rsidRDefault="00000000" w:rsidRPr="00000000" w14:paraId="000000CE">
      <w:pPr>
        <w:widowControl w:val="0"/>
        <w:ind w:left="426" w:hanging="426"/>
        <w:jc w:val="both"/>
        <w:rPr/>
      </w:pPr>
      <w:r w:rsidDel="00000000" w:rsidR="00000000" w:rsidRPr="00000000">
        <w:rPr>
          <w:rtl w:val="0"/>
        </w:rPr>
        <w:t xml:space="preserve">[18] R. Enns, M. Bjorklund, J. Schoenwaelder, and A. Bierman, “Network configuration protocol (NETCONF),” IETF RFC 6241, 2011.</w:t>
      </w:r>
    </w:p>
    <w:p w:rsidR="00000000" w:rsidDel="00000000" w:rsidP="00000000" w:rsidRDefault="00000000" w:rsidRPr="00000000" w14:paraId="000000CF">
      <w:pPr>
        <w:widowControl w:val="0"/>
        <w:ind w:left="426" w:hanging="426"/>
        <w:jc w:val="both"/>
        <w:rPr/>
      </w:pPr>
      <w:r w:rsidDel="00000000" w:rsidR="00000000" w:rsidRPr="00000000">
        <w:rPr>
          <w:rtl w:val="0"/>
        </w:rPr>
      </w:r>
    </w:p>
    <w:p w:rsidR="00000000" w:rsidDel="00000000" w:rsidP="00000000" w:rsidRDefault="00000000" w:rsidRPr="00000000" w14:paraId="000000D0">
      <w:pPr>
        <w:widowControl w:val="0"/>
        <w:ind w:left="426" w:hanging="426"/>
        <w:jc w:val="both"/>
        <w:rPr/>
      </w:pPr>
      <w:r w:rsidDel="00000000" w:rsidR="00000000" w:rsidRPr="00000000">
        <w:rPr>
          <w:rtl w:val="0"/>
        </w:rPr>
        <w:t xml:space="preserve">[19] VMware Inc., “VMware NSX: Network virtualization platform,” White Paper, 2018.</w:t>
      </w:r>
    </w:p>
    <w:p w:rsidR="00000000" w:rsidDel="00000000" w:rsidP="00000000" w:rsidRDefault="00000000" w:rsidRPr="00000000" w14:paraId="000000D1">
      <w:pPr>
        <w:widowControl w:val="0"/>
        <w:ind w:left="426" w:hanging="426"/>
        <w:jc w:val="both"/>
        <w:rPr/>
      </w:pPr>
      <w:r w:rsidDel="00000000" w:rsidR="00000000" w:rsidRPr="00000000">
        <w:rPr>
          <w:rtl w:val="0"/>
        </w:rPr>
      </w:r>
    </w:p>
    <w:p w:rsidR="00000000" w:rsidDel="00000000" w:rsidP="00000000" w:rsidRDefault="00000000" w:rsidRPr="00000000" w14:paraId="000000D2">
      <w:pPr>
        <w:widowControl w:val="0"/>
        <w:ind w:left="426" w:hanging="426"/>
        <w:jc w:val="both"/>
        <w:rPr/>
      </w:pPr>
      <w:r w:rsidDel="00000000" w:rsidR="00000000" w:rsidRPr="00000000">
        <w:rPr>
          <w:rtl w:val="0"/>
        </w:rPr>
        <w:t xml:space="preserve">[20] Cisco Systems, “Cisco Application Centric Infrastructure Fundamentals,” White Paper, 2019.</w:t>
      </w:r>
    </w:p>
    <w:p w:rsidR="00000000" w:rsidDel="00000000" w:rsidP="00000000" w:rsidRDefault="00000000" w:rsidRPr="00000000" w14:paraId="000000D3">
      <w:pPr>
        <w:widowControl w:val="0"/>
        <w:ind w:left="426" w:hanging="426"/>
        <w:jc w:val="both"/>
        <w:rPr/>
      </w:pPr>
      <w:r w:rsidDel="00000000" w:rsidR="00000000" w:rsidRPr="00000000">
        <w:rPr>
          <w:rtl w:val="0"/>
        </w:rPr>
      </w:r>
    </w:p>
    <w:p w:rsidR="00000000" w:rsidDel="00000000" w:rsidP="00000000" w:rsidRDefault="00000000" w:rsidRPr="00000000" w14:paraId="000000D4">
      <w:pPr>
        <w:widowControl w:val="0"/>
        <w:ind w:left="426" w:hanging="426"/>
        <w:jc w:val="both"/>
        <w:rPr/>
      </w:pPr>
      <w:r w:rsidDel="00000000" w:rsidR="00000000" w:rsidRPr="00000000">
        <w:rPr>
          <w:rtl w:val="0"/>
        </w:rPr>
        <w:t xml:space="preserve">[21] A. Gember-Jacobson et al., “OpenNF: Enabling innovation in network function control,” in Proc. ACM SIGCOMM, 2014, pp. 163–174.</w:t>
      </w:r>
    </w:p>
    <w:p w:rsidR="00000000" w:rsidDel="00000000" w:rsidP="00000000" w:rsidRDefault="00000000" w:rsidRPr="00000000" w14:paraId="000000D5">
      <w:pPr>
        <w:widowControl w:val="0"/>
        <w:ind w:left="426" w:hanging="426"/>
        <w:jc w:val="both"/>
        <w:rPr/>
      </w:pPr>
      <w:r w:rsidDel="00000000" w:rsidR="00000000" w:rsidRPr="00000000">
        <w:rPr>
          <w:rtl w:val="0"/>
        </w:rPr>
      </w:r>
    </w:p>
    <w:p w:rsidR="00000000" w:rsidDel="00000000" w:rsidP="00000000" w:rsidRDefault="00000000" w:rsidRPr="00000000" w14:paraId="000000D6">
      <w:pPr>
        <w:widowControl w:val="0"/>
        <w:ind w:left="426" w:hanging="426"/>
        <w:jc w:val="both"/>
        <w:rPr/>
      </w:pPr>
      <w:r w:rsidDel="00000000" w:rsidR="00000000" w:rsidRPr="00000000">
        <w:rPr>
          <w:rtl w:val="0"/>
        </w:rPr>
        <w:t xml:space="preserve">[22] T. Koponen et al., “Onix: A distributed control platform for large-scale production networks,” in Proc. USENIX OSDI, 2010, pp. 351–364.</w:t>
      </w:r>
    </w:p>
    <w:p w:rsidR="00000000" w:rsidDel="00000000" w:rsidP="00000000" w:rsidRDefault="00000000" w:rsidRPr="00000000" w14:paraId="000000D7">
      <w:pPr>
        <w:widowControl w:val="0"/>
        <w:ind w:left="426" w:hanging="426"/>
        <w:jc w:val="both"/>
        <w:rPr/>
      </w:pPr>
      <w:r w:rsidDel="00000000" w:rsidR="00000000" w:rsidRPr="00000000">
        <w:rPr>
          <w:rtl w:val="0"/>
        </w:rPr>
      </w:r>
    </w:p>
    <w:p w:rsidR="00000000" w:rsidDel="00000000" w:rsidP="00000000" w:rsidRDefault="00000000" w:rsidRPr="00000000" w14:paraId="000000D8">
      <w:pPr>
        <w:widowControl w:val="0"/>
        <w:ind w:left="426" w:hanging="426"/>
        <w:jc w:val="both"/>
        <w:rPr/>
      </w:pPr>
      <w:r w:rsidDel="00000000" w:rsidR="00000000" w:rsidRPr="00000000">
        <w:rPr>
          <w:rtl w:val="0"/>
        </w:rPr>
        <w:t xml:space="preserve">[23] D. Kreutz, F. Ramos, P. Esteves Veríssimo, C. Esteve Rothenberg, S. Azodolmolky, and S. Uhlig, “Software-defined networking: A comprehensive survey,” Proc. IEEE, vol. 103, no. 1, pp. 14–76, 2015.</w:t>
      </w:r>
    </w:p>
    <w:p w:rsidR="00000000" w:rsidDel="00000000" w:rsidP="00000000" w:rsidRDefault="00000000" w:rsidRPr="00000000" w14:paraId="000000D9">
      <w:pPr>
        <w:widowControl w:val="0"/>
        <w:ind w:left="426" w:hanging="426"/>
        <w:jc w:val="both"/>
        <w:rPr/>
      </w:pPr>
      <w:r w:rsidDel="00000000" w:rsidR="00000000" w:rsidRPr="00000000">
        <w:rPr>
          <w:rtl w:val="0"/>
        </w:rPr>
      </w:r>
    </w:p>
    <w:p w:rsidR="00000000" w:rsidDel="00000000" w:rsidP="00000000" w:rsidRDefault="00000000" w:rsidRPr="00000000" w14:paraId="000000DA">
      <w:pPr>
        <w:widowControl w:val="0"/>
        <w:ind w:left="426" w:hanging="426"/>
        <w:jc w:val="both"/>
        <w:rPr/>
      </w:pPr>
      <w:r w:rsidDel="00000000" w:rsidR="00000000" w:rsidRPr="00000000">
        <w:rPr>
          <w:rtl w:val="0"/>
        </w:rPr>
        <w:t xml:space="preserve">[24] A. Gupta et al., “SDX: A software defined internet exchange,” in Proc. ACM SIGCOMM, 2014, pp. 551–562.</w:t>
      </w:r>
    </w:p>
    <w:p w:rsidR="00000000" w:rsidDel="00000000" w:rsidP="00000000" w:rsidRDefault="00000000" w:rsidRPr="00000000" w14:paraId="000000DB">
      <w:pPr>
        <w:widowControl w:val="0"/>
        <w:ind w:left="426" w:hanging="426"/>
        <w:jc w:val="both"/>
        <w:rPr/>
      </w:pPr>
      <w:r w:rsidDel="00000000" w:rsidR="00000000" w:rsidRPr="00000000">
        <w:rPr>
          <w:rtl w:val="0"/>
        </w:rPr>
      </w:r>
    </w:p>
    <w:p w:rsidR="00000000" w:rsidDel="00000000" w:rsidP="00000000" w:rsidRDefault="00000000" w:rsidRPr="00000000" w14:paraId="000000DC">
      <w:pPr>
        <w:widowControl w:val="0"/>
        <w:ind w:left="426" w:hanging="426"/>
        <w:jc w:val="both"/>
        <w:rPr>
          <w:sz w:val="24"/>
          <w:szCs w:val="24"/>
        </w:rPr>
      </w:pPr>
      <w:r w:rsidDel="00000000" w:rsidR="00000000" w:rsidRPr="00000000">
        <w:rPr>
          <w:rtl w:val="0"/>
        </w:rPr>
        <w:t xml:space="preserve">[25] J. Medved, R. Varga, A. Tkacik, and K. Gray, “OpenDaylight: Towards a model-driven SDN controller architecture,” in Proc. IEEE WoWMoM, 2014, pp. 1–6.</w:t>
      </w:r>
      <w:r w:rsidDel="00000000" w:rsidR="00000000" w:rsidRPr="00000000">
        <w:rPr>
          <w:rtl w:val="0"/>
        </w:rPr>
      </w:r>
    </w:p>
    <w:p w:rsidR="00000000" w:rsidDel="00000000" w:rsidP="00000000" w:rsidRDefault="00000000" w:rsidRPr="00000000" w14:paraId="000000DD">
      <w:pPr>
        <w:widowControl w:val="0"/>
        <w:ind w:left="426" w:hanging="426"/>
        <w:jc w:val="both"/>
        <w:rPr>
          <w:sz w:val="18"/>
          <w:szCs w:val="18"/>
        </w:rPr>
      </w:pPr>
      <w:r w:rsidDel="00000000" w:rsidR="00000000" w:rsidRPr="00000000">
        <w:rPr>
          <w:rtl w:val="0"/>
        </w:rPr>
      </w:r>
    </w:p>
    <w:p w:rsidR="00000000" w:rsidDel="00000000" w:rsidP="00000000" w:rsidRDefault="00000000" w:rsidRPr="00000000" w14:paraId="000000DE">
      <w:pPr>
        <w:jc w:val="both"/>
        <w:rPr>
          <w:i w:val="1"/>
        </w:rPr>
      </w:pPr>
      <w:r w:rsidDel="00000000" w:rsidR="00000000" w:rsidRPr="00000000">
        <w:rPr>
          <w:rtl w:val="0"/>
        </w:rPr>
      </w:r>
    </w:p>
    <w:p w:rsidR="00000000" w:rsidDel="00000000" w:rsidP="00000000" w:rsidRDefault="00000000" w:rsidRPr="00000000" w14:paraId="000000DF">
      <w:pPr>
        <w:jc w:val="both"/>
        <w:rPr>
          <w:b w:val="1"/>
        </w:rPr>
      </w:pPr>
      <w:r w:rsidDel="00000000" w:rsidR="00000000" w:rsidRPr="00000000">
        <w:rPr>
          <w:rtl w:val="0"/>
        </w:rPr>
      </w:r>
    </w:p>
    <w:p w:rsidR="00000000" w:rsidDel="00000000" w:rsidP="00000000" w:rsidRDefault="00000000" w:rsidRPr="00000000" w14:paraId="000000E0">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E1">
      <w:pPr>
        <w:jc w:val="both"/>
        <w:rPr/>
      </w:pPr>
      <w:r w:rsidDel="00000000" w:rsidR="00000000" w:rsidRPr="00000000">
        <w:rPr>
          <w:b w:val="1"/>
          <w:rtl w:val="0"/>
        </w:rPr>
        <w:t xml:space="preserve">BIOGRAPHIES OF AUTHORS</w:t>
      </w:r>
      <w:r w:rsidDel="00000000" w:rsidR="00000000" w:rsidRPr="00000000">
        <w:rPr>
          <w:rtl w:val="0"/>
        </w:rPr>
      </w:r>
    </w:p>
    <w:p w:rsidR="00000000" w:rsidDel="00000000" w:rsidP="00000000" w:rsidRDefault="00000000" w:rsidRPr="00000000" w14:paraId="000000E2">
      <w:pPr>
        <w:rPr>
          <w:i w:val="1"/>
        </w:rPr>
      </w:pPr>
      <w:r w:rsidDel="00000000" w:rsidR="00000000" w:rsidRPr="00000000">
        <w:rPr>
          <w:rtl w:val="0"/>
        </w:rPr>
      </w:r>
    </w:p>
    <w:tbl>
      <w:tblPr>
        <w:tblStyle w:val="Table4"/>
        <w:tblW w:w="9004.0" w:type="dxa"/>
        <w:jc w:val="left"/>
        <w:tblInd w:w="-11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86"/>
        <w:gridCol w:w="7018"/>
        <w:tblGridChange w:id="0">
          <w:tblGrid>
            <w:gridCol w:w="1986"/>
            <w:gridCol w:w="7018"/>
          </w:tblGrid>
        </w:tblGridChange>
      </w:tblGrid>
      <w:tr>
        <w:trPr>
          <w:cantSplit w:val="0"/>
          <w:trHeight w:val="1547" w:hRule="atLeast"/>
          <w:tblHeader w:val="0"/>
        </w:trPr>
        <w:tc>
          <w:tcPr/>
          <w:p w:rsidR="00000000" w:rsidDel="00000000" w:rsidP="00000000" w:rsidRDefault="00000000" w:rsidRPr="00000000" w14:paraId="000000E3">
            <w:pPr>
              <w:jc w:val="center"/>
              <w:rPr>
                <w:highlight w:val="yellow"/>
              </w:rPr>
            </w:pPr>
            <w:r w:rsidDel="00000000" w:rsidR="00000000" w:rsidRPr="00000000">
              <w:rPr>
                <w:highlight w:val="yellow"/>
              </w:rPr>
              <w:drawing>
                <wp:inline distB="0" distT="0" distL="0" distR="0">
                  <wp:extent cx="1134676" cy="1702015"/>
                  <wp:effectExtent b="0" l="0" r="0" t="0"/>
                  <wp:docPr id="10" name="image10.png"/>
                  <a:graphic>
                    <a:graphicData uri="http://schemas.openxmlformats.org/drawingml/2006/picture">
                      <pic:pic>
                        <pic:nvPicPr>
                          <pic:cNvPr id="0" name="image10.png"/>
                          <pic:cNvPicPr preferRelativeResize="0"/>
                        </pic:nvPicPr>
                        <pic:blipFill>
                          <a:blip r:embed="rId10"/>
                          <a:srcRect b="0" l="0" r="0" t="0"/>
                          <a:stretch>
                            <a:fillRect/>
                          </a:stretch>
                        </pic:blipFill>
                        <pic:spPr>
                          <a:xfrm>
                            <a:off x="0" y="0"/>
                            <a:ext cx="1134676" cy="1702015"/>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E4">
            <w:pPr>
              <w:jc w:val="both"/>
              <w:rPr>
                <w:sz w:val="18"/>
                <w:szCs w:val="18"/>
              </w:rPr>
            </w:pPr>
            <w:r w:rsidDel="00000000" w:rsidR="00000000" w:rsidRPr="00000000">
              <w:rPr>
                <w:b w:val="1"/>
                <w:sz w:val="18"/>
                <w:szCs w:val="18"/>
                <w:rtl w:val="0"/>
              </w:rPr>
              <w:t xml:space="preserve">Riezkan Aprianda Firmansyah </w:t>
            </w:r>
            <w:r w:rsidDel="00000000" w:rsidR="00000000" w:rsidRPr="00000000">
              <w:rPr>
                <w:sz w:val="18"/>
                <w:szCs w:val="18"/>
                <w:rtl w:val="0"/>
              </w:rPr>
              <w:t xml:space="preserve">received his S.kom (undergraduate) training in Informatics Engineering from STMIK AMIK Bandung, Bandung, Indonesia, where he is currently completing his final year of study. He was born in April 2002 in Bandung, Indonesia. His undergraduate thesis focuses on Software-Defined Networking (SDN), with particular emphasis on the integration of SDN technologies into the Proxmox Virtual Environment and the evaluation of network Quality of Service (QoS). His research interests include virtualization, cloud computing, programmable networks, and data center architectures. He can be contacted at email: </w:t>
            </w:r>
            <w:hyperlink r:id="rId11">
              <w:r w:rsidDel="00000000" w:rsidR="00000000" w:rsidRPr="00000000">
                <w:rPr>
                  <w:color w:val="0000ff"/>
                  <w:sz w:val="18"/>
                  <w:szCs w:val="18"/>
                  <w:u w:val="single"/>
                  <w:rtl w:val="0"/>
                </w:rPr>
                <w:t xml:space="preserve">riezkanaprianda@gmail.com</w:t>
              </w:r>
            </w:hyperlink>
            <w:r w:rsidDel="00000000" w:rsidR="00000000" w:rsidRPr="00000000">
              <w:rPr>
                <w:rtl w:val="0"/>
              </w:rPr>
            </w:r>
          </w:p>
          <w:p w:rsidR="00000000" w:rsidDel="00000000" w:rsidP="00000000" w:rsidRDefault="00000000" w:rsidRPr="00000000" w14:paraId="000000E5">
            <w:pPr>
              <w:jc w:val="both"/>
              <w:rPr>
                <w:b w:val="1"/>
                <w:sz w:val="18"/>
                <w:szCs w:val="18"/>
              </w:rPr>
            </w:pPr>
            <w:r w:rsidDel="00000000" w:rsidR="00000000" w:rsidRPr="00000000">
              <w:rPr>
                <w:sz w:val="18"/>
                <w:szCs w:val="18"/>
                <w:rtl w:val="0"/>
              </w:rPr>
              <w:t xml:space="preserve">.</w:t>
            </w:r>
            <w:r w:rsidDel="00000000" w:rsidR="00000000" w:rsidRPr="00000000">
              <w:rPr>
                <w:rtl w:val="0"/>
              </w:rPr>
            </w:r>
          </w:p>
        </w:tc>
      </w:tr>
    </w:tbl>
    <w:p w:rsidR="00000000" w:rsidDel="00000000" w:rsidP="00000000" w:rsidRDefault="00000000" w:rsidRPr="00000000" w14:paraId="000000E6">
      <w:pPr>
        <w:ind w:firstLine="720"/>
        <w:jc w:val="both"/>
        <w:rPr/>
      </w:pP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6840" w:w="11907" w:orient="portrait"/>
      <w:pgMar w:bottom="1418" w:top="1418" w:left="1701" w:right="1418" w:header="1134" w:footer="113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Wingding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2992"/>
      </w:tabs>
      <w:spacing w:after="0" w:before="24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TELKOMNIKA Telecommun Comput El Control, Vol. 99, No. 1, Month 2099: 1-1x</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-17779</wp:posOffset>
              </wp:positionH>
              <wp:positionV relativeFrom="paragraph">
                <wp:posOffset>144145</wp:posOffset>
              </wp:positionV>
              <wp:extent cx="5616000" cy="0"/>
              <wp:effectExtent b="4763" l="0" r="0" t="4763"/>
              <wp:wrapNone/>
              <wp:docPr id="6" name=""/>
              <a:graphic>
                <a:graphicData uri="http://schemas.microsoft.com/office/word/2010/wordprocessingShape">
                  <wps:wsp>
                    <wps:cNvCnPr>
                      <a:cxnSpLocks noChangeShapeType="1"/>
                    </wps:cNvCnPr>
                    <wps:spPr bwMode="auto">
                      <a:xfrm>
                        <a:off x="0" y="0"/>
                        <a:ext cx="5616000" cy="0"/>
                      </a:xfrm>
                      <a:prstGeom prst="line">
                        <a:avLst/>
                      </a:prstGeom>
                      <a:noFill/>
                      <a:ln w="9525">
                        <a:solidFill>
                          <a:srgbClr val="000000"/>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-17779</wp:posOffset>
              </wp:positionH>
              <wp:positionV relativeFrom="paragraph">
                <wp:posOffset>144145</wp:posOffset>
              </wp:positionV>
              <wp:extent cx="5616000" cy="9526"/>
              <wp:effectExtent b="0" l="0" r="0" t="0"/>
              <wp:wrapNone/>
              <wp:docPr id="6" name="image7.png"/>
              <a:graphic>
                <a:graphicData uri="http://schemas.openxmlformats.org/drawingml/2006/picture">
                  <pic:pic>
                    <pic:nvPicPr>
                      <pic:cNvPr id="0" name="image7.png"/>
                      <pic:cNvPicPr preferRelativeResize="0"/>
                    </pic:nvPicPr>
                    <pic:blipFill>
                      <a:blip r:embed="rId1"/>
                      <a:srcRect b="0" l="0" r="0" t="0"/>
                      <a:stretch>
                        <a:fillRect/>
                      </a:stretch>
                    </pic:blipFill>
                    <pic:spPr>
                      <a:xfrm>
                        <a:off x="0" y="0"/>
                        <a:ext cx="5616000" cy="9526"/>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righ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Paper’s should be the fewest possible that accurately describe … (First Author)</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-17779</wp:posOffset>
              </wp:positionH>
              <wp:positionV relativeFrom="paragraph">
                <wp:posOffset>0</wp:posOffset>
              </wp:positionV>
              <wp:extent cx="5616000" cy="0"/>
              <wp:effectExtent b="4763" l="0" r="0" t="4763"/>
              <wp:wrapNone/>
              <wp:docPr id="2" name=""/>
              <a:graphic>
                <a:graphicData uri="http://schemas.microsoft.com/office/word/2010/wordprocessingShape">
                  <wps:wsp>
                    <wps:cNvCnPr>
                      <a:cxnSpLocks noChangeShapeType="1"/>
                    </wps:cNvCnPr>
                    <wps:spPr bwMode="auto">
                      <a:xfrm>
                        <a:off x="0" y="0"/>
                        <a:ext cx="5616000" cy="0"/>
                      </a:xfrm>
                      <a:prstGeom prst="line">
                        <a:avLst/>
                      </a:prstGeom>
                      <a:noFill/>
                      <a:ln w="9525">
                        <a:solidFill>
                          <a:srgbClr val="000000"/>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-17779</wp:posOffset>
              </wp:positionH>
              <wp:positionV relativeFrom="paragraph">
                <wp:posOffset>0</wp:posOffset>
              </wp:positionV>
              <wp:extent cx="5616000" cy="9526"/>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5616000" cy="9526"/>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240" w:line="240" w:lineRule="auto"/>
      <w:ind w:left="0" w:right="0" w:firstLine="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Journal homepage</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http://journal.uad.ac.id/index.php/TELKOMNIKA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-17779</wp:posOffset>
              </wp:positionH>
              <wp:positionV relativeFrom="paragraph">
                <wp:posOffset>144145</wp:posOffset>
              </wp:positionV>
              <wp:extent cx="5616000" cy="12700"/>
              <wp:effectExtent b="0" l="0" r="0" t="0"/>
              <wp:wrapNone/>
              <wp:docPr id="4" name=""/>
              <a:graphic>
                <a:graphicData uri="http://schemas.microsoft.com/office/word/2010/wordprocessingShape">
                  <wps:wsp>
                    <wps:cNvCnPr>
                      <a:cxnSpLocks noChangeShapeType="1"/>
                    </wps:cNvCnPr>
                    <wps:spPr bwMode="auto">
                      <a:xfrm>
                        <a:off x="0" y="0"/>
                        <a:ext cx="5616000" cy="0"/>
                      </a:xfrm>
                      <a:prstGeom prst="straightConnector1">
                        <a:avLst/>
                      </a:prstGeom>
                      <a:noFill/>
                      <a:ln w="9525">
                        <a:solidFill>
                          <a:srgbClr val="000000"/>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-17779</wp:posOffset>
              </wp:positionH>
              <wp:positionV relativeFrom="paragraph">
                <wp:posOffset>144145</wp:posOffset>
              </wp:positionV>
              <wp:extent cx="5616000" cy="12700"/>
              <wp:effectExtent b="0" l="0" r="0" t="0"/>
              <wp:wrapNone/>
              <wp:docPr id="4"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5616000" cy="12700"/>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right" w:leader="none" w:pos="851"/>
        <w:tab w:val="left" w:leader="none" w:pos="3405"/>
        <w:tab w:val="right" w:leader="none" w:pos="8789"/>
      </w:tabs>
      <w:spacing w:after="24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otwu15paway2" w:id="2"/>
    <w:bookmarkEnd w:id="2"/>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r>
    <w:r w:rsidDel="00000000" w:rsidR="00000000" w:rsidRPr="00000000">
      <w:rPr>
        <w:rFonts w:ascii="Wingdings" w:cs="Wingdings" w:eastAsia="Wingdings" w:hAnsi="Wingdings"/>
        <w:b w:val="0"/>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tab/>
      <w:t xml:space="preserve">       ISSN: 1693-6930</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-17779</wp:posOffset>
              </wp:positionH>
              <wp:positionV relativeFrom="paragraph">
                <wp:posOffset>180340</wp:posOffset>
              </wp:positionV>
              <wp:extent cx="5616000" cy="12700"/>
              <wp:effectExtent b="0" l="0" r="0" t="0"/>
              <wp:wrapNone/>
              <wp:docPr id="1" name=""/>
              <a:graphic>
                <a:graphicData uri="http://schemas.microsoft.com/office/word/2010/wordprocessingShape">
                  <wps:wsp>
                    <wps:cNvCnPr>
                      <a:cxnSpLocks noChangeShapeType="1"/>
                    </wps:cNvCnPr>
                    <wps:spPr bwMode="auto">
                      <a:xfrm>
                        <a:off x="0" y="0"/>
                        <a:ext cx="5616000" cy="0"/>
                      </a:xfrm>
                      <a:prstGeom prst="straightConnector1">
                        <a:avLst/>
                      </a:prstGeom>
                      <a:noFill/>
                      <a:ln w="9525">
                        <a:solidFill>
                          <a:srgbClr val="000000"/>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-17779</wp:posOffset>
              </wp:positionH>
              <wp:positionV relativeFrom="paragraph">
                <wp:posOffset>180340</wp:posOffset>
              </wp:positionV>
              <wp:extent cx="5616000" cy="12700"/>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616000" cy="12700"/>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0"/>
        <w:tab w:val="center" w:leader="none" w:pos="4301"/>
        <w:tab w:val="left" w:leader="none" w:pos="79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TELKOMNIKA Telecommun Comput El Control</w:t>
      <w:tab/>
      <w:tab/>
    </w:r>
    <w:r w:rsidDel="00000000" w:rsidR="00000000" w:rsidRPr="00000000">
      <w:rPr>
        <w:rFonts w:ascii="Wingdings" w:cs="Wingdings" w:eastAsia="Wingdings" w:hAnsi="Wingdings"/>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360" w:firstLine="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-17779</wp:posOffset>
              </wp:positionH>
              <wp:positionV relativeFrom="paragraph">
                <wp:posOffset>17780</wp:posOffset>
              </wp:positionV>
              <wp:extent cx="5616000" cy="12700"/>
              <wp:effectExtent b="0" l="0" r="0" t="0"/>
              <wp:wrapNone/>
              <wp:docPr id="5" name=""/>
              <a:graphic>
                <a:graphicData uri="http://schemas.microsoft.com/office/word/2010/wordprocessingShape">
                  <wps:wsp>
                    <wps:cNvCnPr>
                      <a:cxnSpLocks noChangeShapeType="1"/>
                    </wps:cNvCnPr>
                    <wps:spPr bwMode="auto">
                      <a:xfrm>
                        <a:off x="0" y="0"/>
                        <a:ext cx="5616000" cy="0"/>
                      </a:xfrm>
                      <a:prstGeom prst="straightConnector1">
                        <a:avLst/>
                      </a:prstGeom>
                      <a:noFill/>
                      <a:ln w="9525">
                        <a:solidFill>
                          <a:srgbClr val="000000"/>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-17779</wp:posOffset>
              </wp:positionH>
              <wp:positionV relativeFrom="paragraph">
                <wp:posOffset>17780</wp:posOffset>
              </wp:positionV>
              <wp:extent cx="5616000" cy="12700"/>
              <wp:effectExtent b="0" l="0" r="0" t="0"/>
              <wp:wrapNone/>
              <wp:docPr id="5"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5616000" cy="12700"/>
                      </a:xfrm>
                      <a:prstGeom prst="rect"/>
                      <a:ln/>
                    </pic:spPr>
                  </pic:pic>
                </a:graphicData>
              </a:graphic>
            </wp:anchor>
          </w:drawing>
        </mc:Fallback>
      </mc:AlternateContent>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45" w:firstLine="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TELKOMNIKA Telecommunication Computing Electronics and Control</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45"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3fexxmaaen4i" w:id="3"/>
    <w:bookmarkEnd w:id="3"/>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Vol. 99, No. 1, Month 2099, pp. 1~1x</w:t>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7938"/>
        <w:tab w:val="right" w:leader="none" w:pos="8789"/>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iwt5hyuhl6xj" w:id="4"/>
    <w:bookmarkEnd w:id="4"/>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ISSN: 1693-6930, DOI: 10.12928/TELKOMNIKA.v99i1.paperID</w:t>
      <w:tab/>
    </w:r>
    <w:r w:rsidDel="00000000" w:rsidR="00000000" w:rsidRPr="00000000">
      <w:rPr>
        <w:rFonts w:ascii="Wingdings" w:cs="Wingdings" w:eastAsia="Wingdings" w:hAnsi="Wingdings"/>
        <w:b w:val="0"/>
        <w:i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tab/>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-19049</wp:posOffset>
              </wp:positionH>
              <wp:positionV relativeFrom="paragraph">
                <wp:posOffset>180975</wp:posOffset>
              </wp:positionV>
              <wp:extent cx="5616000" cy="12700"/>
              <wp:effectExtent b="0" l="0" r="0" t="0"/>
              <wp:wrapNone/>
              <wp:docPr id="3" name=""/>
              <a:graphic>
                <a:graphicData uri="http://schemas.microsoft.com/office/word/2010/wordprocessingShape">
                  <wps:wsp>
                    <wps:cNvCnPr>
                      <a:cxnSpLocks noChangeShapeType="1"/>
                    </wps:cNvCnPr>
                    <wps:spPr bwMode="auto">
                      <a:xfrm>
                        <a:off x="0" y="0"/>
                        <a:ext cx="5616000" cy="0"/>
                      </a:xfrm>
                      <a:prstGeom prst="straightConnector1">
                        <a:avLst/>
                      </a:prstGeom>
                      <a:noFill/>
                      <a:ln w="9525">
                        <a:solidFill>
                          <a:srgbClr val="000000"/>
                        </a:solidFill>
                        <a:round/>
                        <a:headEnd/>
                        <a:tailEnd/>
                      </a:ln>
                      <a:extLst>
                        <a:ext uri="{909E8E84-426E-40DD-AFC4-6F175D3DCCD1}"/>
                      </a:extLst>
                    </wps:spPr>
                    <wps:bodyPr/>
                  </wps:wsp>
                </a:graphicData>
              </a:graphic>
            </wp:anchor>
          </w:drawing>
        </mc:Choice>
        <mc:Fallback>
          <w:drawing>
            <wp:anchor allowOverlap="1" behindDoc="0" distB="0" distT="0" distL="114300" distR="114300" hidden="0" layoutInCell="1" locked="0" relativeHeight="0" simplePos="0">
              <wp:simplePos x="0" y="0"/>
              <wp:positionH relativeFrom="column">
                <wp:posOffset>-19049</wp:posOffset>
              </wp:positionH>
              <wp:positionV relativeFrom="paragraph">
                <wp:posOffset>180975</wp:posOffset>
              </wp:positionV>
              <wp:extent cx="5616000" cy="12700"/>
              <wp:effectExtent b="0" l="0" r="0" t="0"/>
              <wp:wrapNone/>
              <wp:docPr id="3"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5616000" cy="12700"/>
                      </a:xfrm>
                      <a:prstGeom prst="rect"/>
                      <a:ln/>
                    </pic:spPr>
                  </pic:pic>
                </a:graphicData>
              </a:graphic>
            </wp:anchor>
          </w:drawing>
        </mc:Fallback>
      </mc:AlternateContent>
    </w:r>
  </w:p>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 w:val="left" w:leader="none" w:pos="7938"/>
        <w:tab w:val="right" w:leader="none" w:pos="8789"/>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rFonts w:ascii="Times New Roman" w:cs="Times New Roman" w:eastAsia="Times New Roman" w:hAnsi="Times New Roman"/>
        <w:b w:val="1"/>
        <w:i w:val="0"/>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decimal"/>
      <w:lvlText w:val="%1."/>
      <w:lvlJc w:val="left"/>
      <w:pPr>
        <w:ind w:left="720" w:hanging="360"/>
      </w:pPr>
      <w:rPr>
        <w:b w:val="0"/>
        <w:i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line="480" w:lineRule="auto"/>
      <w:jc w:val="center"/>
    </w:pPr>
    <w:rPr>
      <w:b w:val="1"/>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rPr>
  </w:style>
  <w:style w:type="paragraph" w:styleId="Heading3">
    <w:name w:val="heading 3"/>
    <w:basedOn w:val="Normal"/>
    <w:next w:val="Normal"/>
    <w:pPr>
      <w:keepNext w:val="1"/>
      <w:spacing w:after="60" w:before="240" w:lineRule="auto"/>
    </w:pPr>
    <w:rPr>
      <w:rFonts w:ascii="Arial" w:cs="Arial" w:eastAsia="Arial" w:hAnsi="Arial"/>
      <w:b w:val="1"/>
      <w:sz w:val="26"/>
      <w:szCs w:val="26"/>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spacing w:after="60" w:before="240" w:lineRule="auto"/>
    </w:pPr>
    <w:rPr>
      <w:b w:val="1"/>
      <w:i w:val="1"/>
      <w:sz w:val="26"/>
      <w:szCs w:val="26"/>
    </w:rPr>
  </w:style>
  <w:style w:type="paragraph" w:styleId="Heading6">
    <w:name w:val="heading 6"/>
    <w:basedOn w:val="Normal"/>
    <w:next w:val="Normal"/>
    <w:pPr>
      <w:keepNext w:val="1"/>
      <w:jc w:val="center"/>
    </w:pPr>
    <w:rPr>
      <w:b w:val="1"/>
      <w:i w:val="1"/>
      <w:u w:val="single"/>
    </w:rPr>
  </w:style>
  <w:style w:type="paragraph" w:styleId="Title">
    <w:name w:val="Title"/>
    <w:basedOn w:val="Normal"/>
    <w:next w:val="Normal"/>
    <w:pPr>
      <w:jc w:val="center"/>
    </w:pPr>
    <w:rPr>
      <w:b w:val="1"/>
      <w:sz w:val="28"/>
      <w:szCs w:val="28"/>
    </w:rPr>
  </w:style>
  <w:style w:type="paragraph" w:styleId="Subtitle">
    <w:name w:val="Subtitle"/>
    <w:basedOn w:val="Normal"/>
    <w:next w:val="Normal"/>
    <w:pPr>
      <w:jc w:val="center"/>
    </w:pPr>
    <w:rPr>
      <w:b w:val="1"/>
      <w:sz w:val="32"/>
      <w:szCs w:val="32"/>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riezkanaprianda@gmail.com" TargetMode="External"/><Relationship Id="rId10" Type="http://schemas.openxmlformats.org/officeDocument/2006/relationships/image" Target="media/image10.png"/><Relationship Id="rId13" Type="http://schemas.openxmlformats.org/officeDocument/2006/relationships/header" Target="header3.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15" Type="http://schemas.openxmlformats.org/officeDocument/2006/relationships/footer" Target="footer2.xml"/><Relationship Id="rId14" Type="http://schemas.openxmlformats.org/officeDocument/2006/relationships/header" Target="header1.xml"/><Relationship Id="rId17" Type="http://schemas.openxmlformats.org/officeDocument/2006/relationships/footer" Target="footer1.xml"/><Relationship Id="rId16" Type="http://schemas.openxmlformats.org/officeDocument/2006/relationships/footer" Target="footer3.xml"/><Relationship Id="rId5" Type="http://schemas.openxmlformats.org/officeDocument/2006/relationships/styles" Target="styles.xml"/><Relationship Id="rId6" Type="http://schemas.openxmlformats.org/officeDocument/2006/relationships/hyperlink" Target="https://creativecommons.org/licenses/by-sa/4.0/" TargetMode="External"/><Relationship Id="rId7" Type="http://schemas.openxmlformats.org/officeDocument/2006/relationships/image" Target="media/image6.png"/><Relationship Id="rId8" Type="http://schemas.openxmlformats.org/officeDocument/2006/relationships/image" Target="media/image9.png"/></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